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6E4436" w14:textId="77777777" w:rsidR="007B15E0" w:rsidRPr="002974BE" w:rsidRDefault="007B15E0" w:rsidP="001D7F2E">
      <w:pPr>
        <w:pStyle w:val="Textoindependiente"/>
        <w:jc w:val="both"/>
        <w:rPr>
          <w:rFonts w:cstheme="minorHAnsi"/>
          <w:b/>
          <w:szCs w:val="22"/>
        </w:rPr>
      </w:pPr>
    </w:p>
    <w:p w14:paraId="6D3B9C9D" w14:textId="77777777" w:rsidR="007B15E0" w:rsidRPr="002974BE" w:rsidRDefault="007B15E0" w:rsidP="001D7F2E">
      <w:pPr>
        <w:pStyle w:val="Textoindependiente"/>
        <w:jc w:val="both"/>
        <w:rPr>
          <w:rFonts w:cstheme="minorHAnsi"/>
          <w:b/>
          <w:szCs w:val="22"/>
        </w:rPr>
      </w:pPr>
      <w:r w:rsidRPr="002974BE">
        <w:rPr>
          <w:rFonts w:cstheme="minorHAnsi"/>
          <w:b/>
          <w:szCs w:val="22"/>
        </w:rPr>
        <w:t>INFORME FINAL DE PROYECTO DE INVESTIGACIÓN</w:t>
      </w:r>
    </w:p>
    <w:p w14:paraId="22F41A70" w14:textId="77777777" w:rsidR="007B15E0" w:rsidRPr="002974BE" w:rsidRDefault="007B15E0" w:rsidP="001D7F2E">
      <w:pPr>
        <w:pStyle w:val="Textoindependiente"/>
        <w:spacing w:before="0" w:after="0"/>
        <w:jc w:val="both"/>
        <w:rPr>
          <w:rFonts w:cstheme="minorHAnsi"/>
          <w:sz w:val="22"/>
          <w:szCs w:val="22"/>
        </w:rPr>
      </w:pPr>
    </w:p>
    <w:p w14:paraId="09A707A4" w14:textId="77777777" w:rsidR="007B15E0" w:rsidRPr="002974BE" w:rsidRDefault="006B7D9E" w:rsidP="001D7F2E">
      <w:pPr>
        <w:pStyle w:val="Textoindependiente"/>
        <w:spacing w:before="0" w:after="0"/>
        <w:jc w:val="both"/>
        <w:rPr>
          <w:rFonts w:cstheme="minorHAnsi"/>
          <w:sz w:val="22"/>
          <w:szCs w:val="22"/>
        </w:rPr>
      </w:pPr>
      <w:r w:rsidRPr="002974BE">
        <w:rPr>
          <w:rFonts w:cstheme="minorHAnsi"/>
          <w:b/>
          <w:noProof/>
          <w:color w:val="000000" w:themeColor="text1"/>
          <w:lang w:val="en-US"/>
        </w:rPr>
        <w:drawing>
          <wp:anchor distT="0" distB="0" distL="114300" distR="114300" simplePos="0" relativeHeight="251658240" behindDoc="1" locked="0" layoutInCell="1" allowOverlap="1" wp14:anchorId="5863D2E5" wp14:editId="089E788E">
            <wp:simplePos x="0" y="0"/>
            <wp:positionH relativeFrom="column">
              <wp:posOffset>1415415</wp:posOffset>
            </wp:positionH>
            <wp:positionV relativeFrom="paragraph">
              <wp:posOffset>102870</wp:posOffset>
            </wp:positionV>
            <wp:extent cx="3038475" cy="1771650"/>
            <wp:effectExtent l="0" t="0" r="9525" b="0"/>
            <wp:wrapThrough wrapText="bothSides">
              <wp:wrapPolygon edited="0">
                <wp:start x="0" y="0"/>
                <wp:lineTo x="0" y="21368"/>
                <wp:lineTo x="21532" y="21368"/>
                <wp:lineTo x="21532" y="0"/>
                <wp:lineTo x="0" y="0"/>
              </wp:wrapPolygon>
            </wp:wrapThrough>
            <wp:docPr id="4" name="Imagen 4" descr="Coronavirus: ¿qué son los autoanticuerpos y qué tienen que ver con la  covid-19 grave? | EL DE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ronavirus: ¿qué son los autoanticuerpos y qué tienen que ver con la  covid-19 grave? | EL DEBER"/>
                    <pic:cNvPicPr>
                      <a:picLocks noChangeAspect="1" noChangeArrowheads="1"/>
                    </pic:cNvPicPr>
                  </pic:nvPicPr>
                  <pic:blipFill>
                    <a:blip r:embed="rId7">
                      <a:extLst>
                        <a:ext uri="{BEBA8EAE-BF5A-486C-A8C5-ECC9F3942E4B}">
                          <a14:imgProps xmlns:a14="http://schemas.microsoft.com/office/drawing/2010/main">
                            <a14:imgLayer r:embed="rId8">
                              <a14:imgEffect>
                                <a14:sharpenSoften amount="25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038475" cy="1771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DCE6F5" w14:textId="77777777" w:rsidR="007B15E0" w:rsidRPr="002974BE" w:rsidRDefault="007B15E0" w:rsidP="001D7F2E">
      <w:pPr>
        <w:pStyle w:val="Prrafodelista"/>
        <w:ind w:left="505"/>
        <w:contextualSpacing w:val="0"/>
        <w:jc w:val="both"/>
        <w:rPr>
          <w:rFonts w:cstheme="minorHAnsi"/>
          <w:b/>
          <w:color w:val="000000" w:themeColor="text1"/>
        </w:rPr>
      </w:pPr>
    </w:p>
    <w:p w14:paraId="209530AE" w14:textId="77777777" w:rsidR="007B15E0" w:rsidRPr="002974BE" w:rsidRDefault="007B15E0" w:rsidP="001D7F2E">
      <w:pPr>
        <w:pStyle w:val="Prrafodelista"/>
        <w:ind w:left="505"/>
        <w:contextualSpacing w:val="0"/>
        <w:jc w:val="both"/>
        <w:rPr>
          <w:rFonts w:cstheme="minorHAnsi"/>
          <w:b/>
          <w:color w:val="000000" w:themeColor="text1"/>
        </w:rPr>
      </w:pPr>
    </w:p>
    <w:p w14:paraId="1679375D" w14:textId="77777777" w:rsidR="007B15E0" w:rsidRPr="002974BE" w:rsidRDefault="007B15E0" w:rsidP="001D7F2E">
      <w:pPr>
        <w:pStyle w:val="Prrafodelista"/>
        <w:ind w:left="505"/>
        <w:contextualSpacing w:val="0"/>
        <w:jc w:val="both"/>
        <w:rPr>
          <w:rFonts w:cstheme="minorHAnsi"/>
          <w:b/>
          <w:color w:val="000000" w:themeColor="text1"/>
        </w:rPr>
      </w:pPr>
    </w:p>
    <w:p w14:paraId="434DAE72" w14:textId="77777777" w:rsidR="007B15E0" w:rsidRPr="002974BE" w:rsidRDefault="007B15E0" w:rsidP="001D7F2E">
      <w:pPr>
        <w:pStyle w:val="Prrafodelista"/>
        <w:ind w:left="505"/>
        <w:contextualSpacing w:val="0"/>
        <w:jc w:val="both"/>
        <w:rPr>
          <w:rFonts w:cstheme="minorHAnsi"/>
          <w:b/>
          <w:color w:val="000000" w:themeColor="text1"/>
        </w:rPr>
      </w:pPr>
    </w:p>
    <w:p w14:paraId="162A2615" w14:textId="77777777" w:rsidR="007B15E0" w:rsidRPr="002974BE" w:rsidRDefault="007B15E0" w:rsidP="001D7F2E">
      <w:pPr>
        <w:pStyle w:val="Prrafodelista"/>
        <w:ind w:left="505"/>
        <w:contextualSpacing w:val="0"/>
        <w:jc w:val="both"/>
        <w:rPr>
          <w:rFonts w:cstheme="minorHAnsi"/>
          <w:b/>
          <w:color w:val="000000" w:themeColor="text1"/>
        </w:rPr>
      </w:pPr>
    </w:p>
    <w:p w14:paraId="6A039EDC" w14:textId="77777777" w:rsidR="007B15E0" w:rsidRPr="002974BE" w:rsidRDefault="007B15E0" w:rsidP="001D7F2E">
      <w:pPr>
        <w:pStyle w:val="Prrafodelista"/>
        <w:ind w:left="505"/>
        <w:contextualSpacing w:val="0"/>
        <w:jc w:val="both"/>
        <w:rPr>
          <w:rFonts w:cstheme="minorHAnsi"/>
          <w:b/>
          <w:color w:val="000000" w:themeColor="text1"/>
        </w:rPr>
      </w:pPr>
    </w:p>
    <w:p w14:paraId="27F256B5" w14:textId="77777777" w:rsidR="006B7D9E" w:rsidRPr="002974BE" w:rsidRDefault="006B7D9E" w:rsidP="001D7F2E">
      <w:pPr>
        <w:pStyle w:val="Prrafodelista"/>
        <w:ind w:left="505"/>
        <w:contextualSpacing w:val="0"/>
        <w:jc w:val="both"/>
        <w:rPr>
          <w:rFonts w:cstheme="minorHAnsi"/>
          <w:b/>
          <w:color w:val="000000" w:themeColor="text1"/>
        </w:rPr>
      </w:pPr>
    </w:p>
    <w:p w14:paraId="16F5301A" w14:textId="77777777" w:rsidR="007B15E0" w:rsidRPr="002974BE" w:rsidRDefault="007B15E0" w:rsidP="001D7F2E">
      <w:pPr>
        <w:pStyle w:val="Prrafodelista"/>
        <w:ind w:left="505"/>
        <w:contextualSpacing w:val="0"/>
        <w:jc w:val="both"/>
        <w:rPr>
          <w:rFonts w:cstheme="minorHAnsi"/>
          <w:b/>
          <w:sz w:val="22"/>
          <w:szCs w:val="22"/>
        </w:rPr>
      </w:pPr>
      <w:r w:rsidRPr="002974BE">
        <w:rPr>
          <w:rFonts w:cstheme="minorHAnsi"/>
          <w:b/>
          <w:sz w:val="22"/>
          <w:szCs w:val="22"/>
        </w:rPr>
        <w:t>TÍTULO DE INFORME FINAL DE INVESTIGACIÓN</w:t>
      </w:r>
    </w:p>
    <w:p w14:paraId="574320D2" w14:textId="77777777" w:rsidR="007B15E0" w:rsidRPr="002974BE" w:rsidRDefault="007B15E0" w:rsidP="001D7F2E">
      <w:pPr>
        <w:pStyle w:val="Textoindependiente"/>
        <w:spacing w:before="0" w:after="0"/>
        <w:jc w:val="both"/>
        <w:rPr>
          <w:rFonts w:cstheme="minorHAnsi"/>
          <w:sz w:val="22"/>
          <w:szCs w:val="22"/>
        </w:rPr>
      </w:pPr>
    </w:p>
    <w:p w14:paraId="454F0E27" w14:textId="77777777" w:rsidR="007B15E0" w:rsidRPr="002974BE" w:rsidRDefault="007B15E0" w:rsidP="001D7F2E">
      <w:pPr>
        <w:pStyle w:val="Textoindependiente"/>
        <w:spacing w:before="0" w:after="0"/>
        <w:jc w:val="both"/>
        <w:rPr>
          <w:rFonts w:cstheme="minorHAnsi"/>
          <w:sz w:val="22"/>
          <w:szCs w:val="22"/>
        </w:rPr>
      </w:pPr>
    </w:p>
    <w:p w14:paraId="04DEBD4C" w14:textId="77777777" w:rsidR="007B15E0" w:rsidRPr="002974BE" w:rsidRDefault="007B15E0" w:rsidP="001D7F2E">
      <w:pPr>
        <w:spacing w:after="160" w:line="259" w:lineRule="auto"/>
        <w:jc w:val="both"/>
        <w:rPr>
          <w:rFonts w:cstheme="minorHAnsi"/>
          <w:sz w:val="28"/>
        </w:rPr>
      </w:pPr>
      <w:r w:rsidRPr="002974BE">
        <w:rPr>
          <w:rFonts w:cstheme="minorHAnsi"/>
          <w:sz w:val="28"/>
        </w:rPr>
        <w:t>“</w:t>
      </w:r>
      <w:r w:rsidRPr="002974BE">
        <w:rPr>
          <w:rFonts w:cstheme="minorHAnsi"/>
          <w:b/>
          <w:sz w:val="28"/>
        </w:rPr>
        <w:t>Detección de anticuerpos en los trabajadores vacunados contra el SARS-CoV-2, del Instituto Nacional de Salud del Niño de San Borja</w:t>
      </w:r>
      <w:r w:rsidRPr="002974BE">
        <w:rPr>
          <w:rFonts w:cstheme="minorHAnsi"/>
          <w:sz w:val="28"/>
        </w:rPr>
        <w:t>”</w:t>
      </w:r>
    </w:p>
    <w:p w14:paraId="7010B8E4" w14:textId="77777777" w:rsidR="007B15E0" w:rsidRPr="002974BE" w:rsidRDefault="007B15E0" w:rsidP="001D7F2E">
      <w:pPr>
        <w:pStyle w:val="Textoindependiente"/>
        <w:spacing w:before="0" w:after="0"/>
        <w:jc w:val="both"/>
        <w:rPr>
          <w:rFonts w:cstheme="minorHAnsi"/>
          <w:sz w:val="22"/>
          <w:szCs w:val="22"/>
        </w:rPr>
      </w:pPr>
    </w:p>
    <w:p w14:paraId="4C91EA14" w14:textId="77777777" w:rsidR="007B15E0" w:rsidRPr="002974BE" w:rsidRDefault="007B15E0" w:rsidP="001D7F2E">
      <w:pPr>
        <w:pStyle w:val="Textoindependiente"/>
        <w:spacing w:before="0" w:after="0"/>
        <w:jc w:val="both"/>
        <w:rPr>
          <w:rFonts w:cstheme="minorHAnsi"/>
          <w:sz w:val="22"/>
          <w:szCs w:val="22"/>
        </w:rPr>
      </w:pPr>
    </w:p>
    <w:p w14:paraId="14CDE6CC" w14:textId="77777777" w:rsidR="007B15E0" w:rsidRPr="002974BE" w:rsidRDefault="007B15E0" w:rsidP="001D7F2E">
      <w:pPr>
        <w:pStyle w:val="Textoindependiente"/>
        <w:spacing w:before="0" w:after="0"/>
        <w:jc w:val="both"/>
        <w:rPr>
          <w:rFonts w:cstheme="minorHAnsi"/>
          <w:sz w:val="22"/>
          <w:szCs w:val="22"/>
        </w:rPr>
      </w:pPr>
    </w:p>
    <w:p w14:paraId="3A1BD84E" w14:textId="77777777" w:rsidR="007B15E0" w:rsidRPr="002974BE" w:rsidRDefault="007B15E0" w:rsidP="001D7F2E">
      <w:pPr>
        <w:pStyle w:val="Textoindependiente"/>
        <w:spacing w:before="0" w:after="0"/>
        <w:jc w:val="both"/>
        <w:rPr>
          <w:rFonts w:cstheme="minorHAnsi"/>
          <w:sz w:val="22"/>
          <w:szCs w:val="22"/>
        </w:rPr>
      </w:pPr>
      <w:r w:rsidRPr="002974BE">
        <w:rPr>
          <w:rFonts w:cstheme="minorHAnsi"/>
          <w:sz w:val="22"/>
          <w:szCs w:val="22"/>
        </w:rPr>
        <w:t xml:space="preserve">AUTORA: </w:t>
      </w:r>
    </w:p>
    <w:p w14:paraId="59460B04" w14:textId="77777777" w:rsidR="007B15E0" w:rsidRPr="002974BE" w:rsidRDefault="007B15E0" w:rsidP="001D7F2E">
      <w:pPr>
        <w:pStyle w:val="Textoindependiente"/>
        <w:spacing w:before="0" w:after="0"/>
        <w:jc w:val="both"/>
        <w:rPr>
          <w:rFonts w:cstheme="minorHAnsi"/>
          <w:sz w:val="22"/>
          <w:szCs w:val="22"/>
        </w:rPr>
      </w:pPr>
    </w:p>
    <w:p w14:paraId="6F217AC2" w14:textId="77777777" w:rsidR="007B15E0" w:rsidRPr="002974BE" w:rsidRDefault="007B15E0" w:rsidP="001D7F2E">
      <w:pPr>
        <w:pStyle w:val="Textoindependiente"/>
        <w:spacing w:before="0" w:after="0"/>
        <w:jc w:val="both"/>
        <w:rPr>
          <w:rFonts w:cstheme="minorHAnsi"/>
          <w:sz w:val="22"/>
          <w:szCs w:val="22"/>
        </w:rPr>
      </w:pPr>
    </w:p>
    <w:p w14:paraId="726F4A4D" w14:textId="77777777" w:rsidR="007B15E0" w:rsidRPr="002974BE" w:rsidRDefault="007B15E0" w:rsidP="001D7F2E">
      <w:pPr>
        <w:pStyle w:val="Textoindependiente"/>
        <w:spacing w:before="0" w:after="0"/>
        <w:jc w:val="both"/>
        <w:rPr>
          <w:rFonts w:cstheme="minorHAnsi"/>
          <w:sz w:val="22"/>
          <w:szCs w:val="22"/>
        </w:rPr>
      </w:pPr>
      <w:r w:rsidRPr="002974BE">
        <w:rPr>
          <w:rFonts w:cstheme="minorHAnsi"/>
          <w:sz w:val="22"/>
          <w:szCs w:val="22"/>
        </w:rPr>
        <w:t>Co autores:</w:t>
      </w:r>
    </w:p>
    <w:p w14:paraId="3282667B" w14:textId="77777777" w:rsidR="007B15E0" w:rsidRPr="002974BE" w:rsidRDefault="007B15E0" w:rsidP="001D7F2E">
      <w:pPr>
        <w:pStyle w:val="Textoindependiente"/>
        <w:spacing w:before="0" w:after="0"/>
        <w:jc w:val="both"/>
        <w:rPr>
          <w:rFonts w:cstheme="minorHAnsi"/>
          <w:sz w:val="22"/>
          <w:szCs w:val="22"/>
        </w:rPr>
      </w:pPr>
    </w:p>
    <w:p w14:paraId="4FA255EC" w14:textId="77777777" w:rsidR="007B15E0" w:rsidRPr="002974BE" w:rsidRDefault="007B15E0" w:rsidP="001D7F2E">
      <w:pPr>
        <w:pStyle w:val="Textoindependiente"/>
        <w:spacing w:before="0" w:after="0"/>
        <w:jc w:val="both"/>
        <w:rPr>
          <w:rFonts w:cstheme="minorHAnsi"/>
          <w:sz w:val="22"/>
          <w:szCs w:val="22"/>
        </w:rPr>
      </w:pPr>
    </w:p>
    <w:p w14:paraId="21C72563" w14:textId="77777777" w:rsidR="007B15E0" w:rsidRPr="002974BE" w:rsidRDefault="007B15E0" w:rsidP="001D7F2E">
      <w:pPr>
        <w:pStyle w:val="Textoindependiente"/>
        <w:spacing w:before="0" w:after="0"/>
        <w:jc w:val="both"/>
        <w:rPr>
          <w:rFonts w:cstheme="minorHAnsi"/>
          <w:sz w:val="22"/>
          <w:szCs w:val="22"/>
        </w:rPr>
      </w:pPr>
    </w:p>
    <w:p w14:paraId="6FF21AF5" w14:textId="77777777" w:rsidR="007B15E0" w:rsidRPr="002974BE" w:rsidRDefault="007B15E0" w:rsidP="001D7F2E">
      <w:pPr>
        <w:pStyle w:val="Textoindependiente"/>
        <w:spacing w:before="0" w:after="0"/>
        <w:jc w:val="both"/>
        <w:rPr>
          <w:rFonts w:cstheme="minorHAnsi"/>
          <w:sz w:val="22"/>
          <w:szCs w:val="22"/>
        </w:rPr>
      </w:pPr>
      <w:r w:rsidRPr="002974BE">
        <w:rPr>
          <w:rFonts w:cstheme="minorHAnsi"/>
          <w:sz w:val="22"/>
          <w:szCs w:val="22"/>
        </w:rPr>
        <w:t>Instituto Nacional de Salud del Niño San Borja</w:t>
      </w:r>
    </w:p>
    <w:p w14:paraId="36011A99" w14:textId="77777777" w:rsidR="007B15E0" w:rsidRPr="002974BE" w:rsidRDefault="007B15E0" w:rsidP="001D7F2E">
      <w:pPr>
        <w:pStyle w:val="Textoindependiente"/>
        <w:spacing w:before="0" w:after="0"/>
        <w:jc w:val="both"/>
        <w:rPr>
          <w:rFonts w:cstheme="minorHAnsi"/>
          <w:sz w:val="22"/>
          <w:szCs w:val="22"/>
        </w:rPr>
      </w:pPr>
    </w:p>
    <w:p w14:paraId="63662124" w14:textId="77777777" w:rsidR="007B15E0" w:rsidRPr="002974BE" w:rsidRDefault="007B15E0" w:rsidP="001D7F2E">
      <w:pPr>
        <w:pStyle w:val="Textoindependiente"/>
        <w:spacing w:before="0" w:after="0"/>
        <w:jc w:val="both"/>
        <w:rPr>
          <w:rFonts w:cstheme="minorHAnsi"/>
          <w:sz w:val="22"/>
          <w:szCs w:val="22"/>
        </w:rPr>
      </w:pPr>
    </w:p>
    <w:p w14:paraId="60125FCE" w14:textId="77777777" w:rsidR="007B15E0" w:rsidRPr="002974BE" w:rsidRDefault="007B15E0" w:rsidP="001D7F2E">
      <w:pPr>
        <w:pStyle w:val="Textoindependiente"/>
        <w:spacing w:before="0" w:after="0"/>
        <w:jc w:val="both"/>
        <w:rPr>
          <w:rFonts w:cstheme="minorHAnsi"/>
          <w:sz w:val="22"/>
          <w:szCs w:val="22"/>
        </w:rPr>
      </w:pPr>
    </w:p>
    <w:p w14:paraId="3BF25A19" w14:textId="77777777" w:rsidR="007B15E0" w:rsidRPr="002974BE" w:rsidRDefault="007B15E0" w:rsidP="001D7F2E">
      <w:pPr>
        <w:pStyle w:val="Textoindependiente"/>
        <w:spacing w:before="0" w:after="0"/>
        <w:jc w:val="both"/>
        <w:rPr>
          <w:rFonts w:cstheme="minorHAnsi"/>
          <w:sz w:val="22"/>
          <w:szCs w:val="22"/>
        </w:rPr>
      </w:pPr>
    </w:p>
    <w:p w14:paraId="5B773903" w14:textId="77777777" w:rsidR="007B15E0" w:rsidRPr="002974BE" w:rsidRDefault="007B15E0" w:rsidP="001D7F2E">
      <w:pPr>
        <w:pStyle w:val="Textoindependiente"/>
        <w:spacing w:before="0" w:after="0"/>
        <w:jc w:val="both"/>
        <w:rPr>
          <w:rFonts w:cstheme="minorHAnsi"/>
          <w:sz w:val="22"/>
          <w:szCs w:val="22"/>
        </w:rPr>
      </w:pPr>
    </w:p>
    <w:p w14:paraId="07D31052" w14:textId="77777777" w:rsidR="007B15E0" w:rsidRPr="002974BE" w:rsidRDefault="007B15E0" w:rsidP="001D7F2E">
      <w:pPr>
        <w:pStyle w:val="Textoindependiente"/>
        <w:spacing w:before="0" w:after="0"/>
        <w:jc w:val="both"/>
        <w:rPr>
          <w:rFonts w:cstheme="minorHAnsi"/>
          <w:sz w:val="22"/>
          <w:szCs w:val="22"/>
        </w:rPr>
      </w:pPr>
      <w:r w:rsidRPr="002974BE">
        <w:rPr>
          <w:rFonts w:cstheme="minorHAnsi"/>
          <w:sz w:val="22"/>
          <w:szCs w:val="22"/>
        </w:rPr>
        <w:t>LIMA-PERÚ</w:t>
      </w:r>
    </w:p>
    <w:p w14:paraId="4725C04D" w14:textId="5B62867D" w:rsidR="007B15E0" w:rsidRPr="002974BE" w:rsidRDefault="007B15E0" w:rsidP="001D7F2E">
      <w:pPr>
        <w:pStyle w:val="Textoindependiente"/>
        <w:spacing w:after="0"/>
        <w:jc w:val="both"/>
        <w:rPr>
          <w:rFonts w:cstheme="minorHAnsi"/>
          <w:sz w:val="22"/>
          <w:szCs w:val="22"/>
        </w:rPr>
        <w:sectPr w:rsidR="007B15E0" w:rsidRPr="002974BE" w:rsidSect="00FD70E8">
          <w:headerReference w:type="default" r:id="rId9"/>
          <w:footerReference w:type="default" r:id="rId10"/>
          <w:headerReference w:type="first" r:id="rId11"/>
          <w:footerReference w:type="first" r:id="rId12"/>
          <w:pgSz w:w="12240" w:h="15840"/>
          <w:pgMar w:top="1417" w:right="1701" w:bottom="1417" w:left="1701" w:header="720" w:footer="720" w:gutter="0"/>
          <w:pgNumType w:start="1"/>
          <w:cols w:space="720"/>
          <w:titlePg/>
          <w:docGrid w:linePitch="326"/>
        </w:sectPr>
      </w:pPr>
      <w:r w:rsidRPr="002974BE">
        <w:rPr>
          <w:rFonts w:cstheme="minorHAnsi"/>
          <w:sz w:val="22"/>
          <w:szCs w:val="22"/>
        </w:rPr>
        <w:t>202</w:t>
      </w:r>
      <w:r w:rsidR="00FC3972" w:rsidRPr="002974BE">
        <w:rPr>
          <w:rFonts w:cstheme="minorHAnsi"/>
          <w:sz w:val="22"/>
          <w:szCs w:val="22"/>
        </w:rPr>
        <w:t>3</w:t>
      </w:r>
    </w:p>
    <w:p w14:paraId="0E4F31C0" w14:textId="77777777" w:rsidR="007B15E0" w:rsidRPr="002974BE" w:rsidRDefault="007B15E0" w:rsidP="001D7F2E">
      <w:pPr>
        <w:pStyle w:val="Textoindependiente"/>
        <w:spacing w:before="0" w:after="0" w:line="360" w:lineRule="auto"/>
        <w:jc w:val="both"/>
        <w:rPr>
          <w:rFonts w:cstheme="minorHAnsi"/>
          <w:b/>
          <w:sz w:val="22"/>
          <w:szCs w:val="22"/>
        </w:rPr>
      </w:pPr>
    </w:p>
    <w:p w14:paraId="0F345C2F" w14:textId="77777777" w:rsidR="007B15E0" w:rsidRPr="002974BE" w:rsidRDefault="007B15E0" w:rsidP="001D7F2E">
      <w:pPr>
        <w:pStyle w:val="Textoindependiente"/>
        <w:spacing w:before="0" w:after="0" w:line="360" w:lineRule="auto"/>
        <w:jc w:val="both"/>
        <w:rPr>
          <w:rFonts w:cstheme="minorHAnsi"/>
          <w:b/>
          <w:sz w:val="22"/>
          <w:szCs w:val="22"/>
        </w:rPr>
      </w:pPr>
      <w:r w:rsidRPr="002974BE">
        <w:rPr>
          <w:rFonts w:cstheme="minorHAnsi"/>
          <w:b/>
          <w:sz w:val="22"/>
          <w:szCs w:val="22"/>
        </w:rPr>
        <w:t>TÍTULO:</w:t>
      </w:r>
    </w:p>
    <w:p w14:paraId="66C12AD9" w14:textId="77777777" w:rsidR="007B15E0" w:rsidRPr="002974BE" w:rsidRDefault="006B7D9E" w:rsidP="001D7F2E">
      <w:pPr>
        <w:pStyle w:val="Textoindependiente"/>
        <w:spacing w:before="0" w:after="0" w:line="360" w:lineRule="auto"/>
        <w:jc w:val="both"/>
        <w:rPr>
          <w:rFonts w:cstheme="minorHAnsi"/>
          <w:sz w:val="22"/>
          <w:szCs w:val="22"/>
        </w:rPr>
      </w:pPr>
      <w:r w:rsidRPr="002974BE">
        <w:rPr>
          <w:rFonts w:cstheme="minorHAnsi"/>
          <w:sz w:val="22"/>
          <w:szCs w:val="22"/>
        </w:rPr>
        <w:t>DETECCIÓN DE ANTICUERPOS EN LOS TRABAJADORES VACUNADOS CONTRA EL SARS-COV-2, DEL INSTITUTO NACIONAL DE SALUD DEL NIÑO DE SAN BORJA.</w:t>
      </w:r>
    </w:p>
    <w:p w14:paraId="1B95B461" w14:textId="77777777" w:rsidR="007B15E0" w:rsidRPr="002974BE" w:rsidRDefault="007B15E0" w:rsidP="001D7F2E">
      <w:pPr>
        <w:pStyle w:val="Textoindependiente"/>
        <w:spacing w:before="0" w:after="0" w:line="360" w:lineRule="auto"/>
        <w:jc w:val="both"/>
        <w:rPr>
          <w:rFonts w:cstheme="minorHAnsi"/>
          <w:b/>
          <w:sz w:val="22"/>
          <w:szCs w:val="22"/>
        </w:rPr>
      </w:pPr>
    </w:p>
    <w:p w14:paraId="5935B624" w14:textId="77777777" w:rsidR="007B15E0" w:rsidRPr="002974BE" w:rsidRDefault="007B15E0" w:rsidP="001D7F2E">
      <w:pPr>
        <w:pStyle w:val="Textoindependiente"/>
        <w:spacing w:before="0" w:after="0" w:line="360" w:lineRule="auto"/>
        <w:jc w:val="both"/>
        <w:rPr>
          <w:rFonts w:cstheme="minorHAnsi"/>
          <w:b/>
          <w:sz w:val="22"/>
          <w:szCs w:val="22"/>
        </w:rPr>
      </w:pPr>
      <w:commentRangeStart w:id="0"/>
      <w:r w:rsidRPr="002974BE">
        <w:rPr>
          <w:rFonts w:cstheme="minorHAnsi"/>
          <w:b/>
          <w:sz w:val="22"/>
          <w:szCs w:val="22"/>
        </w:rPr>
        <w:t>RESUMEN</w:t>
      </w:r>
      <w:commentRangeEnd w:id="0"/>
      <w:r w:rsidR="00185D54" w:rsidRPr="002974BE">
        <w:rPr>
          <w:rStyle w:val="Refdecomentario"/>
          <w:rFonts w:cstheme="minorHAnsi"/>
        </w:rPr>
        <w:commentReference w:id="0"/>
      </w:r>
    </w:p>
    <w:p w14:paraId="7C997929" w14:textId="77777777" w:rsidR="006B7D9E" w:rsidRPr="002974BE" w:rsidRDefault="006B7D9E" w:rsidP="001D7F2E">
      <w:pPr>
        <w:pStyle w:val="Textoindependiente"/>
        <w:spacing w:before="0" w:after="0" w:line="360" w:lineRule="auto"/>
        <w:jc w:val="both"/>
        <w:rPr>
          <w:rFonts w:cstheme="minorHAnsi"/>
          <w:b/>
          <w:sz w:val="22"/>
          <w:szCs w:val="22"/>
        </w:rPr>
      </w:pPr>
    </w:p>
    <w:p w14:paraId="497DF71C" w14:textId="77777777" w:rsidR="00731688" w:rsidRPr="002974BE" w:rsidRDefault="00731688" w:rsidP="001D7F2E">
      <w:pPr>
        <w:pStyle w:val="Textoindependiente"/>
        <w:spacing w:before="0" w:after="0" w:line="360" w:lineRule="auto"/>
        <w:jc w:val="both"/>
        <w:rPr>
          <w:rFonts w:cstheme="minorHAnsi"/>
          <w:sz w:val="22"/>
          <w:szCs w:val="22"/>
        </w:rPr>
      </w:pPr>
      <w:r w:rsidRPr="002974BE">
        <w:rPr>
          <w:rFonts w:cstheme="minorHAnsi"/>
          <w:b/>
          <w:sz w:val="22"/>
          <w:szCs w:val="22"/>
        </w:rPr>
        <w:t>Objetivo:</w:t>
      </w:r>
      <w:r w:rsidRPr="002974BE">
        <w:rPr>
          <w:rFonts w:cstheme="minorHAnsi"/>
          <w:sz w:val="22"/>
          <w:szCs w:val="22"/>
        </w:rPr>
        <w:t xml:space="preserve"> Detectar los anticuerpos IgM, IgA e IgG presentes en el personal de salud vacunado contra el SARS-CoV-2 del Instituto Nacional de Salud del Niño de San Borja (INSN SB).</w:t>
      </w:r>
    </w:p>
    <w:p w14:paraId="007DCE0F" w14:textId="77777777" w:rsidR="00731688" w:rsidRPr="002974BE" w:rsidRDefault="00731688" w:rsidP="001D7F2E">
      <w:pPr>
        <w:pStyle w:val="Textoindependiente"/>
        <w:spacing w:before="0" w:after="0" w:line="360" w:lineRule="auto"/>
        <w:jc w:val="both"/>
        <w:rPr>
          <w:rFonts w:cstheme="minorHAnsi"/>
          <w:sz w:val="22"/>
          <w:szCs w:val="22"/>
        </w:rPr>
      </w:pPr>
      <w:r w:rsidRPr="002974BE">
        <w:rPr>
          <w:rFonts w:cstheme="minorHAnsi"/>
          <w:b/>
          <w:sz w:val="22"/>
          <w:szCs w:val="22"/>
        </w:rPr>
        <w:t xml:space="preserve">Diseño: </w:t>
      </w:r>
      <w:r w:rsidRPr="002974BE">
        <w:rPr>
          <w:rFonts w:cstheme="minorHAnsi"/>
          <w:sz w:val="22"/>
          <w:szCs w:val="22"/>
          <w:highlight w:val="yellow"/>
        </w:rPr>
        <w:t>Estudio retrospectivo</w:t>
      </w:r>
      <w:r w:rsidRPr="002974BE">
        <w:rPr>
          <w:rFonts w:cstheme="minorHAnsi"/>
          <w:sz w:val="22"/>
          <w:szCs w:val="22"/>
        </w:rPr>
        <w:t xml:space="preserve"> </w:t>
      </w:r>
    </w:p>
    <w:p w14:paraId="7556C39A" w14:textId="77777777" w:rsidR="00731688" w:rsidRPr="002974BE" w:rsidRDefault="00731688" w:rsidP="001D7F2E">
      <w:pPr>
        <w:pStyle w:val="Textoindependiente"/>
        <w:spacing w:before="0" w:after="0" w:line="360" w:lineRule="auto"/>
        <w:jc w:val="both"/>
        <w:rPr>
          <w:rFonts w:cstheme="minorHAnsi"/>
          <w:sz w:val="22"/>
          <w:szCs w:val="22"/>
        </w:rPr>
      </w:pPr>
      <w:r w:rsidRPr="002974BE">
        <w:rPr>
          <w:rFonts w:cstheme="minorHAnsi"/>
          <w:b/>
          <w:sz w:val="22"/>
          <w:szCs w:val="22"/>
        </w:rPr>
        <w:t xml:space="preserve">Escenario: </w:t>
      </w:r>
      <w:r w:rsidRPr="002974BE">
        <w:rPr>
          <w:rFonts w:cstheme="minorHAnsi"/>
          <w:sz w:val="22"/>
          <w:szCs w:val="22"/>
        </w:rPr>
        <w:t xml:space="preserve">Este estudio se realizó desde el /2021 al /2021 en 163 trabajadores vacunados contra el SARS-CoV-2 pertenecientes al Instituto Nacional de Salud del Niño de San Borja en Lima, Perú </w:t>
      </w:r>
    </w:p>
    <w:p w14:paraId="1C9AE6F5" w14:textId="77777777" w:rsidR="00731688" w:rsidRPr="002974BE" w:rsidRDefault="00731688" w:rsidP="001D7F2E">
      <w:pPr>
        <w:pStyle w:val="Textoindependiente"/>
        <w:spacing w:before="0" w:after="0" w:line="360" w:lineRule="auto"/>
        <w:jc w:val="both"/>
        <w:rPr>
          <w:rFonts w:cstheme="minorHAnsi"/>
          <w:sz w:val="22"/>
          <w:szCs w:val="22"/>
        </w:rPr>
      </w:pPr>
      <w:r w:rsidRPr="002974BE">
        <w:rPr>
          <w:rFonts w:cstheme="minorHAnsi"/>
          <w:b/>
          <w:sz w:val="22"/>
          <w:szCs w:val="22"/>
        </w:rPr>
        <w:t xml:space="preserve">Métodos: </w:t>
      </w:r>
      <w:r w:rsidRPr="002974BE">
        <w:rPr>
          <w:rFonts w:cstheme="minorHAnsi"/>
          <w:sz w:val="22"/>
          <w:szCs w:val="22"/>
        </w:rPr>
        <w:t xml:space="preserve">Se utilizó un kit de inmunoensayo multiplex que emplea microesferas de poliestireno magnéticas con un diámetro de 5.5 ±0.2 (CV&lt;5%) cubiertas con antígenos de SARS-CoV-2 que evaluó en una sola reacción, la </w:t>
      </w:r>
      <w:proofErr w:type="spellStart"/>
      <w:r w:rsidRPr="002974BE">
        <w:rPr>
          <w:rFonts w:cstheme="minorHAnsi"/>
          <w:sz w:val="22"/>
          <w:szCs w:val="22"/>
        </w:rPr>
        <w:t>serorreactividad</w:t>
      </w:r>
      <w:proofErr w:type="spellEnd"/>
      <w:r w:rsidRPr="002974BE">
        <w:rPr>
          <w:rFonts w:cstheme="minorHAnsi"/>
          <w:sz w:val="22"/>
          <w:szCs w:val="22"/>
        </w:rPr>
        <w:t xml:space="preserve"> de cuatro antígenos (</w:t>
      </w:r>
      <w:proofErr w:type="spellStart"/>
      <w:r w:rsidRPr="002974BE">
        <w:rPr>
          <w:rFonts w:cstheme="minorHAnsi"/>
          <w:sz w:val="22"/>
          <w:szCs w:val="22"/>
        </w:rPr>
        <w:t>Spike</w:t>
      </w:r>
      <w:proofErr w:type="spellEnd"/>
      <w:r w:rsidRPr="002974BE">
        <w:rPr>
          <w:rFonts w:cstheme="minorHAnsi"/>
          <w:sz w:val="22"/>
          <w:szCs w:val="22"/>
        </w:rPr>
        <w:t xml:space="preserve">, RBD, NP y </w:t>
      </w:r>
      <w:proofErr w:type="spellStart"/>
      <w:r w:rsidRPr="002974BE">
        <w:rPr>
          <w:rFonts w:cstheme="minorHAnsi"/>
          <w:sz w:val="22"/>
          <w:szCs w:val="22"/>
        </w:rPr>
        <w:t>Mpro</w:t>
      </w:r>
      <w:proofErr w:type="spellEnd"/>
      <w:r w:rsidRPr="002974BE">
        <w:rPr>
          <w:rFonts w:cstheme="minorHAnsi"/>
          <w:sz w:val="22"/>
          <w:szCs w:val="22"/>
        </w:rPr>
        <w:t>) y tres anticuerpos (IgA, IgG, IgM) mediante la técnica de Citometría de Flujo. La intensidad de fluorescencia registrada en el Citómetro será proporcional a la cantidad de anticuerpos presente en la muestra.</w:t>
      </w:r>
    </w:p>
    <w:p w14:paraId="7D9AF554" w14:textId="646B869D" w:rsidR="00731688" w:rsidRPr="0013179A" w:rsidRDefault="00731688" w:rsidP="001D7F2E">
      <w:pPr>
        <w:spacing w:line="360" w:lineRule="auto"/>
        <w:jc w:val="both"/>
        <w:rPr>
          <w:rFonts w:cstheme="minorHAnsi"/>
          <w:color w:val="FF0000"/>
        </w:rPr>
      </w:pPr>
      <w:r w:rsidRPr="002974BE">
        <w:rPr>
          <w:rFonts w:cstheme="minorHAnsi"/>
          <w:b/>
        </w:rPr>
        <w:t>Resultados:</w:t>
      </w:r>
      <w:r w:rsidRPr="002974BE">
        <w:rPr>
          <w:rFonts w:cstheme="minorHAnsi"/>
        </w:rPr>
        <w:t xml:space="preserve"> Se observó que la edad mediana fue 38 años, el 67.5% fueron mujeres, 84.7% con grupo sanguíneo O+ y sólo un 19.0% que presentó algún tipo de comorbilidad, siendo el más prevalente la presión arterial (5.5%), seguido de obesidad y diabetes, en un 4.3% y 3.1% respectivamente. Se encontró que la mayor proporción del personal recibió 3 dosis (96.3%), sólo 2 colaboradores (1.2%) recibieron 4 dosis de refuerzo; Sinopharm es el tipo de vacuna con mayor aplicación en su primera y segunda etapa dentro de la institución (96.9%), Se detectó la presencia de anticuerpos contra los antígenos de SARS-CoV-2, RBD, NP y </w:t>
      </w:r>
      <w:proofErr w:type="spellStart"/>
      <w:r w:rsidRPr="002974BE">
        <w:rPr>
          <w:rFonts w:cstheme="minorHAnsi"/>
        </w:rPr>
        <w:t>Mpro</w:t>
      </w:r>
      <w:proofErr w:type="spellEnd"/>
      <w:r w:rsidRPr="002974BE">
        <w:rPr>
          <w:rFonts w:cstheme="minorHAnsi"/>
        </w:rPr>
        <w:t xml:space="preserve"> en 163 pacientes, de los cuales 120 fueron positivos y 43 negativos a COVID-19.</w:t>
      </w:r>
      <w:r w:rsidR="0013179A">
        <w:rPr>
          <w:rFonts w:cstheme="minorHAnsi"/>
        </w:rPr>
        <w:t xml:space="preserve"> </w:t>
      </w:r>
      <w:r w:rsidR="0013179A">
        <w:rPr>
          <w:rFonts w:cstheme="minorHAnsi"/>
          <w:color w:val="FF0000"/>
        </w:rPr>
        <w:t>*DESCRIBIR LOS RESULTADOS QUE TENEMOS HASTA AHORA</w:t>
      </w:r>
    </w:p>
    <w:p w14:paraId="3CC29DCA" w14:textId="77777777" w:rsidR="00731688" w:rsidRPr="002974BE" w:rsidRDefault="00731688" w:rsidP="001D7F2E">
      <w:pPr>
        <w:pStyle w:val="Textoindependiente"/>
        <w:spacing w:before="0" w:after="0" w:line="360" w:lineRule="auto"/>
        <w:jc w:val="both"/>
        <w:rPr>
          <w:rFonts w:cstheme="minorHAnsi"/>
          <w:b/>
          <w:sz w:val="22"/>
          <w:szCs w:val="22"/>
        </w:rPr>
      </w:pPr>
      <w:r w:rsidRPr="002974BE">
        <w:rPr>
          <w:rFonts w:cstheme="minorHAnsi"/>
          <w:b/>
        </w:rPr>
        <w:t>Conclusiones:</w:t>
      </w:r>
    </w:p>
    <w:p w14:paraId="112C150B" w14:textId="77777777" w:rsidR="00731688" w:rsidRPr="002974BE" w:rsidRDefault="00731688" w:rsidP="001D7F2E">
      <w:pPr>
        <w:pStyle w:val="Textoindependiente"/>
        <w:spacing w:before="0" w:after="0" w:line="360" w:lineRule="auto"/>
        <w:jc w:val="both"/>
        <w:rPr>
          <w:rFonts w:cstheme="minorHAnsi"/>
          <w:b/>
          <w:sz w:val="22"/>
          <w:szCs w:val="22"/>
        </w:rPr>
      </w:pPr>
      <w:r w:rsidRPr="002974BE">
        <w:rPr>
          <w:rFonts w:cstheme="minorHAnsi"/>
          <w:b/>
          <w:sz w:val="22"/>
          <w:szCs w:val="22"/>
        </w:rPr>
        <w:t xml:space="preserve">Palabras claves: </w:t>
      </w:r>
      <w:r w:rsidRPr="002974BE">
        <w:rPr>
          <w:rFonts w:cstheme="minorHAnsi"/>
          <w:sz w:val="22"/>
          <w:szCs w:val="22"/>
        </w:rPr>
        <w:t>Detección,</w:t>
      </w:r>
      <w:r w:rsidRPr="002974BE">
        <w:rPr>
          <w:rFonts w:cstheme="minorHAnsi"/>
          <w:b/>
          <w:sz w:val="22"/>
          <w:szCs w:val="22"/>
        </w:rPr>
        <w:t xml:space="preserve"> </w:t>
      </w:r>
      <w:r w:rsidRPr="002974BE">
        <w:rPr>
          <w:rFonts w:cstheme="minorHAnsi"/>
          <w:sz w:val="22"/>
          <w:szCs w:val="22"/>
        </w:rPr>
        <w:t>serología, COVID -19, microesferas</w:t>
      </w:r>
    </w:p>
    <w:p w14:paraId="4F7AA627" w14:textId="77777777" w:rsidR="007B15E0" w:rsidRPr="002974BE" w:rsidRDefault="007B15E0" w:rsidP="001D7F2E">
      <w:pPr>
        <w:pStyle w:val="Textoindependiente"/>
        <w:spacing w:before="0" w:after="0" w:line="360" w:lineRule="auto"/>
        <w:jc w:val="both"/>
        <w:rPr>
          <w:rFonts w:cstheme="minorHAnsi"/>
          <w:b/>
          <w:sz w:val="22"/>
          <w:szCs w:val="22"/>
        </w:rPr>
      </w:pPr>
    </w:p>
    <w:p w14:paraId="2F450793" w14:textId="77777777" w:rsidR="007B15E0" w:rsidRPr="002974BE" w:rsidRDefault="007B15E0" w:rsidP="001D7F2E">
      <w:pPr>
        <w:pStyle w:val="Textoindependiente"/>
        <w:spacing w:before="0" w:after="0" w:line="360" w:lineRule="auto"/>
        <w:jc w:val="both"/>
        <w:rPr>
          <w:rFonts w:cstheme="minorHAnsi"/>
          <w:sz w:val="22"/>
          <w:szCs w:val="22"/>
        </w:rPr>
      </w:pPr>
      <w:r w:rsidRPr="002974BE">
        <w:rPr>
          <w:rFonts w:cstheme="minorHAnsi"/>
          <w:sz w:val="22"/>
          <w:szCs w:val="22"/>
        </w:rPr>
        <w:br w:type="page"/>
      </w:r>
    </w:p>
    <w:p w14:paraId="06407157" w14:textId="77777777" w:rsidR="007B15E0" w:rsidRPr="002974BE" w:rsidRDefault="007B15E0" w:rsidP="001D7F2E">
      <w:pPr>
        <w:pStyle w:val="Textoindependiente"/>
        <w:spacing w:before="0" w:after="0" w:line="360" w:lineRule="auto"/>
        <w:jc w:val="both"/>
        <w:rPr>
          <w:rFonts w:cstheme="minorHAnsi"/>
          <w:sz w:val="22"/>
          <w:szCs w:val="22"/>
        </w:rPr>
      </w:pPr>
    </w:p>
    <w:p w14:paraId="1149701F" w14:textId="635FF9A6" w:rsidR="007B15E0" w:rsidRPr="002974BE" w:rsidRDefault="00D1712A" w:rsidP="001D7F2E">
      <w:pPr>
        <w:pStyle w:val="Textoindependiente"/>
        <w:spacing w:before="0" w:after="0" w:line="360" w:lineRule="auto"/>
        <w:jc w:val="both"/>
        <w:rPr>
          <w:rFonts w:cstheme="minorHAnsi"/>
          <w:b/>
          <w:sz w:val="22"/>
          <w:szCs w:val="22"/>
        </w:rPr>
      </w:pPr>
      <w:r w:rsidRPr="002974BE">
        <w:rPr>
          <w:rFonts w:cstheme="minorHAnsi"/>
          <w:b/>
          <w:sz w:val="22"/>
          <w:szCs w:val="22"/>
        </w:rPr>
        <w:t>INTRODUCCIÓN</w:t>
      </w:r>
      <w:r w:rsidR="007B15E0" w:rsidRPr="002974BE">
        <w:rPr>
          <w:rFonts w:cstheme="minorHAnsi"/>
          <w:b/>
          <w:sz w:val="22"/>
          <w:szCs w:val="22"/>
        </w:rPr>
        <w:t xml:space="preserve"> </w:t>
      </w:r>
    </w:p>
    <w:p w14:paraId="5F13EBFB" w14:textId="049A33C8" w:rsidR="00DF51C9" w:rsidRPr="002974BE" w:rsidRDefault="00E959EA" w:rsidP="001D7F2E">
      <w:pPr>
        <w:pStyle w:val="NormalWeb"/>
        <w:shd w:val="clear" w:color="auto" w:fill="FFFFFF"/>
        <w:spacing w:after="240"/>
        <w:ind w:firstLine="708"/>
        <w:jc w:val="both"/>
        <w:rPr>
          <w:rFonts w:asciiTheme="minorHAnsi" w:hAnsiTheme="minorHAnsi" w:cstheme="minorHAnsi"/>
        </w:rPr>
      </w:pPr>
      <w:r w:rsidRPr="002974BE">
        <w:rPr>
          <w:rFonts w:asciiTheme="minorHAnsi" w:hAnsiTheme="minorHAnsi" w:cstheme="minorHAnsi"/>
        </w:rPr>
        <w:t xml:space="preserve">El </w:t>
      </w:r>
      <w:r w:rsidR="003F049C" w:rsidRPr="002974BE">
        <w:rPr>
          <w:rFonts w:asciiTheme="minorHAnsi" w:hAnsiTheme="minorHAnsi" w:cstheme="minorHAnsi"/>
        </w:rPr>
        <w:t xml:space="preserve">brote de la enfermedad respiratoria </w:t>
      </w:r>
      <w:r w:rsidRPr="002974BE">
        <w:rPr>
          <w:rFonts w:asciiTheme="minorHAnsi" w:hAnsiTheme="minorHAnsi" w:cstheme="minorHAnsi"/>
        </w:rPr>
        <w:t xml:space="preserve">COVID-19 </w:t>
      </w:r>
      <w:r w:rsidR="003F049C" w:rsidRPr="002974BE">
        <w:rPr>
          <w:rFonts w:asciiTheme="minorHAnsi" w:hAnsiTheme="minorHAnsi" w:cstheme="minorHAnsi"/>
        </w:rPr>
        <w:t xml:space="preserve">fue causado por un nuevo coronavirus </w:t>
      </w:r>
      <w:r w:rsidRPr="002974BE">
        <w:rPr>
          <w:rFonts w:asciiTheme="minorHAnsi" w:hAnsiTheme="minorHAnsi" w:cstheme="minorHAnsi"/>
        </w:rPr>
        <w:t>que fue detectado</w:t>
      </w:r>
      <w:r w:rsidR="003F049C" w:rsidRPr="002974BE">
        <w:rPr>
          <w:rFonts w:asciiTheme="minorHAnsi" w:hAnsiTheme="minorHAnsi" w:cstheme="minorHAnsi"/>
        </w:rPr>
        <w:t xml:space="preserve"> inicialmente</w:t>
      </w:r>
      <w:r w:rsidRPr="002974BE">
        <w:rPr>
          <w:rFonts w:asciiTheme="minorHAnsi" w:hAnsiTheme="minorHAnsi" w:cstheme="minorHAnsi"/>
        </w:rPr>
        <w:t xml:space="preserve"> </w:t>
      </w:r>
      <w:r w:rsidR="007B3DEE" w:rsidRPr="002974BE">
        <w:rPr>
          <w:rFonts w:asciiTheme="minorHAnsi" w:hAnsiTheme="minorHAnsi" w:cstheme="minorHAnsi"/>
        </w:rPr>
        <w:t xml:space="preserve">en </w:t>
      </w:r>
      <w:r w:rsidRPr="002974BE">
        <w:rPr>
          <w:rFonts w:asciiTheme="minorHAnsi" w:hAnsiTheme="minorHAnsi" w:cstheme="minorHAnsi"/>
        </w:rPr>
        <w:t xml:space="preserve">la ciudad de </w:t>
      </w:r>
      <w:r w:rsidR="007B3DEE" w:rsidRPr="002974BE">
        <w:rPr>
          <w:rFonts w:asciiTheme="minorHAnsi" w:hAnsiTheme="minorHAnsi" w:cstheme="minorHAnsi"/>
        </w:rPr>
        <w:t>Wuhan</w:t>
      </w:r>
      <w:r w:rsidRPr="002974BE">
        <w:rPr>
          <w:rFonts w:asciiTheme="minorHAnsi" w:hAnsiTheme="minorHAnsi" w:cstheme="minorHAnsi"/>
        </w:rPr>
        <w:t xml:space="preserve"> (China) </w:t>
      </w:r>
      <w:r w:rsidR="007B3DEE" w:rsidRPr="002974BE">
        <w:rPr>
          <w:rFonts w:asciiTheme="minorHAnsi" w:hAnsiTheme="minorHAnsi" w:cstheme="minorHAnsi"/>
        </w:rPr>
        <w:t>a fines de diciembre de 2019</w:t>
      </w:r>
      <w:r w:rsidR="003F049C" w:rsidRPr="002974BE">
        <w:rPr>
          <w:rFonts w:asciiTheme="minorHAnsi" w:hAnsiTheme="minorHAnsi" w:cstheme="minorHAnsi"/>
        </w:rPr>
        <w:t xml:space="preserve"> </w:t>
      </w:r>
      <w:r w:rsidR="000E2E1A" w:rsidRPr="002974BE">
        <w:rPr>
          <w:rFonts w:asciiTheme="minorHAnsi" w:hAnsiTheme="minorHAnsi" w:cstheme="minorHAnsi"/>
        </w:rPr>
        <w:t>causando</w:t>
      </w:r>
      <w:r w:rsidR="003F049C" w:rsidRPr="002974BE">
        <w:rPr>
          <w:rFonts w:asciiTheme="minorHAnsi" w:hAnsiTheme="minorHAnsi" w:cstheme="minorHAnsi"/>
        </w:rPr>
        <w:t xml:space="preserve"> la pandemia </w:t>
      </w:r>
      <w:r w:rsidR="000E2E1A" w:rsidRPr="002974BE">
        <w:rPr>
          <w:rFonts w:asciiTheme="minorHAnsi" w:hAnsiTheme="minorHAnsi" w:cstheme="minorHAnsi"/>
        </w:rPr>
        <w:t>del</w:t>
      </w:r>
      <w:r w:rsidR="003F049C" w:rsidRPr="002974BE">
        <w:rPr>
          <w:rFonts w:asciiTheme="minorHAnsi" w:hAnsiTheme="minorHAnsi" w:cstheme="minorHAnsi"/>
        </w:rPr>
        <w:t xml:space="preserve"> mismo nombre</w:t>
      </w:r>
      <w:r w:rsidR="007B3DEE" w:rsidRPr="002974BE">
        <w:rPr>
          <w:rFonts w:asciiTheme="minorHAnsi" w:hAnsiTheme="minorHAnsi" w:cstheme="minorHAnsi"/>
        </w:rPr>
        <w:t xml:space="preserve"> </w:t>
      </w:r>
      <w:r w:rsidR="003F049C" w:rsidRPr="002974BE">
        <w:rPr>
          <w:rFonts w:asciiTheme="minorHAnsi" w:hAnsiTheme="minorHAnsi" w:cstheme="minorHAnsi"/>
        </w:rPr>
        <w:fldChar w:fldCharType="begin"/>
      </w:r>
      <w:r w:rsidR="003F049C" w:rsidRPr="002974BE">
        <w:rPr>
          <w:rFonts w:asciiTheme="minorHAnsi" w:hAnsiTheme="minorHAnsi" w:cstheme="minorHAnsi"/>
        </w:rPr>
        <w:instrText xml:space="preserve"> ADDIN ZOTERO_ITEM CSL_CITATION {"citationID":"BUR8VjQR","properties":{"formattedCitation":"(1)","plainCitation":"(1)","noteIndex":0},"citationItems":[{"id":84,"uris":["http://zotero.org/users/6047638/items/C5TT89GT"],"itemData":{"id":84,"type":"article-journal","abstract":"COVID-19 has become a major global public health burden, currently causing a rapidly growing number of infections and significant morbidity and mortality around the world. Early detection with fast and sensitive assays and timely intervention are crucial for interrupting the spread of the COVID-19 virus (SARS-CoV-2). Using a mismatch-tolerant amplification technique, we developed a simple, rapid, sensitive and visual reverse transcription loop-mediated isothermal amplification (RT-LAMP) assay for SARS-CoV-2 detection based on its N gene. The assay has a high specificity and sensitivity, and robust reproducibility, and its results can be monitored using a real-time PCR machine or visualized via colorimetric change from red to yellow. The limit of detection (LOD) of the assay is 118.6 copies of SARS-CoV-2 RNA per 25 μL reaction. The reaction can be completed within 30 min for real-time fluorescence monitoring, or 40 min for visual detection when the template input is more than 200 copies per 25 μL reaction. To evaluate the viability of the assay, a comparison between the RT-LAMP and a commercial RT-qPCR assay was made using 56 clinical samples. The SARS-CoV-2 RT-LAMP assay showed perfect agreement in detection with the RT-qPCR assay. The newly-developed SARS-CoV-2 RT-LAMP assay is a simple and rapid method for COVID-19 surveillance.","container-title":"International Journal of Molecular Sciences","DOI":"10.3390/ijms21082826","ISSN":"1422-0067","issue":"8","journalAbbreviation":"Int J Mol Sci","language":"eng","note":"PMID: 32325642\nPMCID: PMC7216271","source":"PubMed","title":"A Novel Reverse Transcription Loop-Mediated Isothermal Amplification Method for Rapid Detection of SARS-CoV-2","volume":"21","author":[{"family":"Lu","given":"Renfei"},{"family":"Wu","given":"Xiuming"},{"family":"Wan","given":"Zhenzhou"},{"family":"Li","given":"Yingxue"},{"family":"Jin","given":"Xia"},{"family":"Zhang","given":"Chiyu"}],"issued":{"date-parts":[["2020",4,18]]}}}],"schema":"https://github.com/citation-style-language/schema/raw/master/csl-citation.json"} </w:instrText>
      </w:r>
      <w:r w:rsidR="003F049C" w:rsidRPr="002974BE">
        <w:rPr>
          <w:rFonts w:asciiTheme="minorHAnsi" w:hAnsiTheme="minorHAnsi" w:cstheme="minorHAnsi"/>
        </w:rPr>
        <w:fldChar w:fldCharType="separate"/>
      </w:r>
      <w:r w:rsidR="003F049C" w:rsidRPr="002974BE">
        <w:rPr>
          <w:rFonts w:asciiTheme="minorHAnsi" w:hAnsiTheme="minorHAnsi" w:cstheme="minorHAnsi"/>
        </w:rPr>
        <w:t>(1)</w:t>
      </w:r>
      <w:r w:rsidR="003F049C" w:rsidRPr="002974BE">
        <w:rPr>
          <w:rFonts w:asciiTheme="minorHAnsi" w:hAnsiTheme="minorHAnsi" w:cstheme="minorHAnsi"/>
        </w:rPr>
        <w:fldChar w:fldCharType="end"/>
      </w:r>
      <w:r w:rsidRPr="002974BE">
        <w:rPr>
          <w:rFonts w:asciiTheme="minorHAnsi" w:hAnsiTheme="minorHAnsi" w:cstheme="minorHAnsi"/>
        </w:rPr>
        <w:t>.</w:t>
      </w:r>
      <w:r w:rsidR="007B3DEE" w:rsidRPr="002974BE">
        <w:rPr>
          <w:rFonts w:asciiTheme="minorHAnsi" w:hAnsiTheme="minorHAnsi" w:cstheme="minorHAnsi"/>
        </w:rPr>
        <w:t xml:space="preserve"> </w:t>
      </w:r>
      <w:r w:rsidR="003F049C" w:rsidRPr="002974BE">
        <w:rPr>
          <w:rFonts w:asciiTheme="minorHAnsi" w:hAnsiTheme="minorHAnsi" w:cstheme="minorHAnsi"/>
        </w:rPr>
        <w:t xml:space="preserve">Este virus ha sido </w:t>
      </w:r>
      <w:proofErr w:type="spellStart"/>
      <w:r w:rsidR="003F049C" w:rsidRPr="002974BE">
        <w:rPr>
          <w:rFonts w:asciiTheme="minorHAnsi" w:hAnsiTheme="minorHAnsi" w:cstheme="minorHAnsi"/>
        </w:rPr>
        <w:t>demoninado</w:t>
      </w:r>
      <w:proofErr w:type="spellEnd"/>
      <w:r w:rsidR="003F049C" w:rsidRPr="002974BE">
        <w:rPr>
          <w:rFonts w:asciiTheme="minorHAnsi" w:hAnsiTheme="minorHAnsi" w:cstheme="minorHAnsi"/>
        </w:rPr>
        <w:t xml:space="preserve"> como el “coronavirus tipo 2 del síndrome respiratorio agudo grave” SARS-CoV-2</w:t>
      </w:r>
      <w:r w:rsidR="00AE69F3" w:rsidRPr="002974BE">
        <w:rPr>
          <w:rFonts w:asciiTheme="minorHAnsi" w:hAnsiTheme="minorHAnsi" w:cstheme="minorHAnsi"/>
        </w:rPr>
        <w:t xml:space="preserve"> </w:t>
      </w:r>
      <w:r w:rsidR="00AE69F3" w:rsidRPr="002974BE">
        <w:rPr>
          <w:rFonts w:asciiTheme="minorHAnsi" w:hAnsiTheme="minorHAnsi" w:cstheme="minorHAnsi"/>
        </w:rPr>
        <w:fldChar w:fldCharType="begin"/>
      </w:r>
      <w:r w:rsidR="00AE69F3" w:rsidRPr="002974BE">
        <w:rPr>
          <w:rFonts w:asciiTheme="minorHAnsi" w:hAnsiTheme="minorHAnsi" w:cstheme="minorHAnsi"/>
        </w:rPr>
        <w:instrText xml:space="preserve"> ADDIN ZOTERO_ITEM CSL_CITATION {"citationID":"aYBL2xYf","properties":{"formattedCitation":"(2)","plainCitation":"(2)","noteIndex":0},"citationItems":[{"id":1081,"uris":["http://zotero.org/users/6047638/items/GDCDPDHY"],"itemData":{"id":1081,"type":"article-journal","abstract":"The present outbreak of a coronavirus-associated acute respiratory disease called coronavirus disease 19 (COVID-19) is the third documented spillover of an animal coronavirus to humans in only two decades that has resulted in a major epidemic. The Coronaviridae Study Group (CSG) of the International Committee on Taxonomy of Viruses, which is responsible for developing the classification of viruses and taxon nomenclature of the family Coronaviridae, has assessed the placement of the human pathogen, tentatively named 2019-nCoV, within the Coronaviridae. Based on phylogeny, taxonomy and established practice, the CSG recognizes this virus as forming a sister clade to the prototype human and bat severe acute respiratory syndrome coronaviruses (SARS-CoVs) of the species Severe acute respiratory syndrome-related coronavirus, and designates it as SARS-CoV-2. In order to facilitate communication, the CSG proposes to use the following naming convention for individual isolates: SARS-CoV-2/host/location/isolate/date. While the full spectrum of clinical manifestations associated with SARS-CoV-2 infections in humans remains to be determined, the independent zoonotic transmission of SARS-CoV and SARS-CoV-2 highlights the need for studying viruses at the species level to complement research focused on individual pathogenic viruses of immediate significance. This will improve our understanding of virus–host interactions in an ever-changing environment and enhance our preparedness for future outbreaks.","container-title":"Nature Microbiology","DOI":"10.1038/s41564-020-0695-z","ISSN":"2058-5276","issue":"4","journalAbbreviation":"Nat Microbiol","language":"eng","note":"PMID: 32123347\nPMCID: PMC7095448","page":"536-544","source":"PubMed","title":"The species Severe acute respiratory syndrome-related coronavirus: classifying 2019-nCoV and naming it SARS-CoV-2","title-short":"The species Severe acute respiratory syndrome-related coronavirus","volume":"5","author":[{"literal":"Coronaviridae Study Group of the International Committee on Taxonomy of Viruses"}],"issued":{"date-parts":[["2020",4]]}}}],"schema":"https://github.com/citation-style-language/schema/raw/master/csl-citation.json"} </w:instrText>
      </w:r>
      <w:r w:rsidR="00AE69F3" w:rsidRPr="002974BE">
        <w:rPr>
          <w:rFonts w:asciiTheme="minorHAnsi" w:hAnsiTheme="minorHAnsi" w:cstheme="minorHAnsi"/>
        </w:rPr>
        <w:fldChar w:fldCharType="separate"/>
      </w:r>
      <w:r w:rsidR="00AE69F3" w:rsidRPr="002974BE">
        <w:rPr>
          <w:rFonts w:asciiTheme="minorHAnsi" w:hAnsiTheme="minorHAnsi" w:cstheme="minorHAnsi"/>
        </w:rPr>
        <w:t>(2)</w:t>
      </w:r>
      <w:r w:rsidR="00AE69F3" w:rsidRPr="002974BE">
        <w:rPr>
          <w:rFonts w:asciiTheme="minorHAnsi" w:hAnsiTheme="minorHAnsi" w:cstheme="minorHAnsi"/>
        </w:rPr>
        <w:fldChar w:fldCharType="end"/>
      </w:r>
      <w:r w:rsidR="003F049C" w:rsidRPr="002974BE">
        <w:rPr>
          <w:rFonts w:asciiTheme="minorHAnsi" w:hAnsiTheme="minorHAnsi" w:cstheme="minorHAnsi"/>
        </w:rPr>
        <w:t xml:space="preserve">. </w:t>
      </w:r>
      <w:r w:rsidR="000E2E1A" w:rsidRPr="002974BE">
        <w:rPr>
          <w:rFonts w:asciiTheme="minorHAnsi" w:hAnsiTheme="minorHAnsi" w:cstheme="minorHAnsi"/>
        </w:rPr>
        <w:t>S</w:t>
      </w:r>
      <w:r w:rsidR="00AE69F3" w:rsidRPr="002974BE">
        <w:rPr>
          <w:rFonts w:asciiTheme="minorHAnsi" w:hAnsiTheme="minorHAnsi" w:cstheme="minorHAnsi"/>
        </w:rPr>
        <w:t>u estructura</w:t>
      </w:r>
      <w:r w:rsidR="000E2E1A" w:rsidRPr="002974BE">
        <w:rPr>
          <w:rFonts w:asciiTheme="minorHAnsi" w:hAnsiTheme="minorHAnsi" w:cstheme="minorHAnsi"/>
        </w:rPr>
        <w:t xml:space="preserve"> lo conforma</w:t>
      </w:r>
      <w:r w:rsidR="00AE69F3" w:rsidRPr="002974BE">
        <w:rPr>
          <w:rFonts w:asciiTheme="minorHAnsi" w:hAnsiTheme="minorHAnsi" w:cstheme="minorHAnsi"/>
        </w:rPr>
        <w:t xml:space="preserve"> un</w:t>
      </w:r>
      <w:r w:rsidR="007B3DEE" w:rsidRPr="002974BE">
        <w:rPr>
          <w:rFonts w:asciiTheme="minorHAnsi" w:hAnsiTheme="minorHAnsi" w:cstheme="minorHAnsi"/>
        </w:rPr>
        <w:t xml:space="preserve"> ARN monocatenario</w:t>
      </w:r>
      <w:r w:rsidR="00AE69F3" w:rsidRPr="002974BE">
        <w:rPr>
          <w:rFonts w:asciiTheme="minorHAnsi" w:hAnsiTheme="minorHAnsi" w:cstheme="minorHAnsi"/>
        </w:rPr>
        <w:t xml:space="preserve"> de sentido positivo, la que se encuentra encapsulada por una nucleocápside</w:t>
      </w:r>
      <w:r w:rsidR="009C5D1D" w:rsidRPr="002974BE">
        <w:rPr>
          <w:rFonts w:asciiTheme="minorHAnsi" w:hAnsiTheme="minorHAnsi" w:cstheme="minorHAnsi"/>
        </w:rPr>
        <w:t xml:space="preserve"> </w:t>
      </w:r>
      <w:r w:rsidR="006962E8" w:rsidRPr="002974BE">
        <w:rPr>
          <w:rFonts w:asciiTheme="minorHAnsi" w:hAnsiTheme="minorHAnsi" w:cstheme="minorHAnsi"/>
        </w:rPr>
        <w:fldChar w:fldCharType="begin"/>
      </w:r>
      <w:r w:rsidR="006962E8" w:rsidRPr="002974BE">
        <w:rPr>
          <w:rFonts w:asciiTheme="minorHAnsi" w:hAnsiTheme="minorHAnsi" w:cstheme="minorHAnsi"/>
        </w:rPr>
        <w:instrText xml:space="preserve"> ADDIN ZOTERO_ITEM CSL_CITATION {"citationID":"Hlww0yBK","properties":{"formattedCitation":"(3)","plainCitation":"(3)","noteIndex":0},"citationItems":[{"id":1084,"uris":["http://zotero.org/users/6047638/items/ZQB7AGTB"],"itemData":{"id":1084,"type":"article-journal","abstract":"The SARS-CoV-2 pandemic and its unprecedented global societal and economic disruptive impact has marked the third zoonotic introduction of a highly pathogenic coronavirus into the human population. Although the previous coronavirus SARS-CoV and MERS-CoV epidemics raised awareness of the need for clinically available therapeutic or preventive interventions, to date, no treatments with proven efficacy are available. The development of effective intervention strategies relies on the knowledge of molecular and cellular mechanisms of coronavirus infections, which highlights the significance of studying virus-host interactions at the molecular level to identify targets for antiviral intervention and to elucidate critical viral and host determinants that are decisive for the development of severe disease. In this Review, we summarize the first discoveries that shape our current understanding of SARS-CoV-2 infection throughout the intracellular viral life cycle and relate that to our knowledge of coronavirus biology. The elucidation of similarities and differences between SARS-CoV-2 and other coronaviruses will support future preparedness and strategies to combat coronavirus infections.","container-title":"Nature Reviews. Microbiology","DOI":"10.1038/s41579-020-00468-6","ISSN":"1740-1534","issue":"3","journalAbbreviation":"Nat Rev Microbiol","language":"eng","note":"PMID: 33116300\nPMCID: PMC7592455","page":"155-170","source":"PubMed","title":"Coronavirus biology and replication: implications for SARS-CoV-2","title-short":"Coronavirus biology and replication","volume":"19","author":[{"family":"V'kovski","given":"Philip"},{"family":"Kratzel","given":"Annika"},{"family":"Steiner","given":"Silvio"},{"family":"Stalder","given":"Hanspeter"},{"family":"Thiel","given":"Volker"}],"issued":{"date-parts":[["2021",3]]}}}],"schema":"https://github.com/citation-style-language/schema/raw/master/csl-citation.json"} </w:instrText>
      </w:r>
      <w:r w:rsidR="006962E8" w:rsidRPr="002974BE">
        <w:rPr>
          <w:rFonts w:asciiTheme="minorHAnsi" w:hAnsiTheme="minorHAnsi" w:cstheme="minorHAnsi"/>
        </w:rPr>
        <w:fldChar w:fldCharType="separate"/>
      </w:r>
      <w:r w:rsidR="006962E8" w:rsidRPr="002974BE">
        <w:rPr>
          <w:rFonts w:asciiTheme="minorHAnsi" w:hAnsiTheme="minorHAnsi" w:cstheme="minorHAnsi"/>
        </w:rPr>
        <w:t>(3)</w:t>
      </w:r>
      <w:r w:rsidR="006962E8" w:rsidRPr="002974BE">
        <w:rPr>
          <w:rFonts w:asciiTheme="minorHAnsi" w:hAnsiTheme="minorHAnsi" w:cstheme="minorHAnsi"/>
        </w:rPr>
        <w:fldChar w:fldCharType="end"/>
      </w:r>
      <w:r w:rsidR="00AE69F3" w:rsidRPr="002974BE">
        <w:rPr>
          <w:rFonts w:asciiTheme="minorHAnsi" w:hAnsiTheme="minorHAnsi" w:cstheme="minorHAnsi"/>
        </w:rPr>
        <w:t xml:space="preserve">. </w:t>
      </w:r>
      <w:r w:rsidR="007B3DEE" w:rsidRPr="002974BE">
        <w:rPr>
          <w:rFonts w:asciiTheme="minorHAnsi" w:hAnsiTheme="minorHAnsi" w:cstheme="minorHAnsi"/>
        </w:rPr>
        <w:t xml:space="preserve"> </w:t>
      </w:r>
      <w:r w:rsidR="000E2E1A" w:rsidRPr="002974BE">
        <w:rPr>
          <w:rFonts w:asciiTheme="minorHAnsi" w:hAnsiTheme="minorHAnsi" w:cstheme="minorHAnsi"/>
        </w:rPr>
        <w:t>Su ARN se encuentra</w:t>
      </w:r>
      <w:r w:rsidR="006962E8" w:rsidRPr="002974BE">
        <w:rPr>
          <w:rFonts w:asciiTheme="minorHAnsi" w:hAnsiTheme="minorHAnsi" w:cstheme="minorHAnsi"/>
        </w:rPr>
        <w:t xml:space="preserve"> c</w:t>
      </w:r>
      <w:r w:rsidR="006C1EED" w:rsidRPr="002974BE">
        <w:rPr>
          <w:rFonts w:asciiTheme="minorHAnsi" w:hAnsiTheme="minorHAnsi" w:cstheme="minorHAnsi"/>
        </w:rPr>
        <w:t>o</w:t>
      </w:r>
      <w:r w:rsidR="006962E8" w:rsidRPr="002974BE">
        <w:rPr>
          <w:rFonts w:asciiTheme="minorHAnsi" w:hAnsiTheme="minorHAnsi" w:cstheme="minorHAnsi"/>
        </w:rPr>
        <w:t>nstituido por 4 genes que codifican las</w:t>
      </w:r>
      <w:r w:rsidR="007B3DEE" w:rsidRPr="002974BE">
        <w:rPr>
          <w:rFonts w:asciiTheme="minorHAnsi" w:hAnsiTheme="minorHAnsi" w:cstheme="minorHAnsi"/>
        </w:rPr>
        <w:t xml:space="preserve"> cuatro proteínas estructurales: las proteínas </w:t>
      </w:r>
      <w:proofErr w:type="spellStart"/>
      <w:r w:rsidR="007B3DEE" w:rsidRPr="002974BE">
        <w:rPr>
          <w:rFonts w:asciiTheme="minorHAnsi" w:hAnsiTheme="minorHAnsi" w:cstheme="minorHAnsi"/>
        </w:rPr>
        <w:t>homotriméricas</w:t>
      </w:r>
      <w:proofErr w:type="spellEnd"/>
      <w:r w:rsidR="007B3DEE" w:rsidRPr="002974BE">
        <w:rPr>
          <w:rFonts w:asciiTheme="minorHAnsi" w:hAnsiTheme="minorHAnsi" w:cstheme="minorHAnsi"/>
        </w:rPr>
        <w:t xml:space="preserve"> de la espiga (S), la envoltura, la membrana y la nucleocápside (N)</w:t>
      </w:r>
      <w:r w:rsidR="00DF51C9" w:rsidRPr="002974BE">
        <w:rPr>
          <w:rFonts w:asciiTheme="minorHAnsi" w:hAnsiTheme="minorHAnsi" w:cstheme="minorHAnsi"/>
        </w:rPr>
        <w:t xml:space="preserve"> </w:t>
      </w:r>
      <w:r w:rsidR="00DF51C9" w:rsidRPr="002974BE">
        <w:rPr>
          <w:rFonts w:asciiTheme="minorHAnsi" w:hAnsiTheme="minorHAnsi" w:cstheme="minorHAnsi"/>
        </w:rPr>
        <w:fldChar w:fldCharType="begin"/>
      </w:r>
      <w:r w:rsidR="00DF51C9" w:rsidRPr="002974BE">
        <w:rPr>
          <w:rFonts w:asciiTheme="minorHAnsi" w:hAnsiTheme="minorHAnsi" w:cstheme="minorHAnsi"/>
        </w:rPr>
        <w:instrText xml:space="preserve"> ADDIN ZOTERO_ITEM CSL_CITATION {"citationID":"r6X9tYkG","properties":{"formattedCitation":"(4\\uc0\\u8211{}6)","plainCitation":"(4–6)","noteIndex":0},"citationItems":[{"id":1087,"uris":["http://zotero.org/users/6047638/items/HWDXRHLQ"],"itemData":{"id":1087,"type":"article-journal","abstract":"The novel severe acute respiratory syndrome coronavirus 2, the cause of the coronavirus disease 2019 (COVID-19) pandemic, has ravaged the world, with over 22 million total cases and over 770,000 deaths worldwide as of August 18, 2020. While the elderly are most severely affected, implicating an age bias, a striking factor in the demographics of this deadly disease is the gender bias, with higher numbers of cases, greater disease severity, and higher death rates among men than women across the lifespan. While pre-existing comorbidities and social, behavioral, and lifestyle factors contribute to this bias, biological factors underlying the host immune response may be crucial contributors. Women mount stronger immune responses to infections and vaccinations and outlive men. Sex-based biological factors underlying the immune response are therefore important determinants of susceptibility to infections, disease outcomes, and mortality. Despite this, gender is a profoundly understudied and often overlooked variable in research related to the immune response and infectious diseases, and it is largely ignored in drug and vaccine clinical trials. Understanding these factors will not only help better understand the pathogenesis of COVID-19, but it will also guide the design of effective therapies and vaccine strategies for gender-based personalized medicine. This review focuses on sex-based differences in genes, sex hormones, and the microbiome underlying the host immune response and their relevance to infections with a focus on coronaviruses.","container-title":"Frontiers in Immunology","DOI":"10.3389/fimmu.2020.02147","ISSN":"1664-3224","journalAbbreviation":"Front Immunol","note":"PMID: 32983176\nPMCID: PMC7485092","page":"2147","source":"PubMed Central","title":"What’s Sex Got to Do With COVID-19? Gender-Based Differences in the Host Immune Response to Coronaviruses","title-short":"What’s Sex Got to Do With COVID-19?","URL":"https://www.ncbi.nlm.nih.gov/pmc/articles/PMC7485092/","volume":"11","author":[{"family":"Gadi","given":"Nirupa"},{"family":"Wu","given":"Samantha C."},{"family":"Spihlman","given":"Allison P."},{"family":"Moulton","given":"Vaishali R."}],"accessed":{"date-parts":[["2023",3,22]]},"issued":{"date-parts":[["2020",8,28]]}}},{"id":1090,"uris":["http://zotero.org/users/6047638/items/RKVFJ3LK"],"itemData":{"id":1090,"type":"article-journal","abstract":"Severe acute respiratory syndrome coronavirus 2 (SARS-CoV-2) is the causative agent of the ongoing coronavirus disease 2019 (COVID-19) pandemic. Alongside investigations into the virology of SARS-CoV-2, understanding the fundamental physiological and immunological processes underlying the clinical manifestations of COVID-19 is vital for the identification and rational design of effective therapies. Here, we provide an overview of the pathophysiology of SARS-CoV-2 infection. We describe the interaction of SARS-CoV-2 with the immune system and the subsequent contribution of dysfunctional immune responses to disease progression. From nascent reports describing SARS-CoV-2, we make inferences on the basis of the parallel pathophysiological and immunological features of the other human coronaviruses targeting the lower respiratory tract — severe acute respiratory syndrome coronavirus (SARS-CoV) and Middle East respiratory syndrome coronavirus (MERS-CoV). Finally, we highlight the implications of these approaches for potential therapeutic interventions that target viral infection and/or immunoregulation., In the short time since SARS-CoV-2 infections emerged in humans, much has been learned about the immunological processes that underlie the clinical manifestation of COVID-19. Here, the authors provide an overview of the pathophysiology of SARS-CoV-2 infection and discuss potential therapeutic approaches.","container-title":"Nature Reviews. Immunology","DOI":"10.1038/s41577-020-0311-8","ISSN":"1474-1733","issue":"6","journalAbbreviation":"Nat Rev Immunol","note":"PMID: 32346093\nPMCID: PMC7187672","page":"363-374","source":"PubMed Central","title":"The trinity of COVID-19: immunity, inflammation and intervention","title-short":"The trinity of COVID-19","URL":"https://www.ncbi.nlm.nih.gov/pmc/articles/PMC7187672/","volume":"20","author":[{"family":"Tay","given":"Matthew Zirui"},{"family":"Poh","given":"Chek Meng"},{"family":"Rénia","given":"Laurent"},{"family":"MacAry","given":"Paul A."},{"family":"Ng","given":"Lisa F. P."}],"accessed":{"date-parts":[["2023",3,22]]},"issued":{"date-parts":[["2020"]]}}},{"id":1093,"uris":["http://zotero.org/users/6047638/items/R4H3VV3J"],"itemData":{"id":1093,"type":"article-journal","abstract":"A new and highly pathogenic coronavirus (severe acute respiratory syndrome coronavirus-2, SARS-CoV-2) caused an outbreak in Wuhan city, Hubei province, China, starting from December 2019 that quickly spread nationwide and to other countries around the world1–3. Here, to better understand the initial step of infection at an atomic level, we determined the crystal structure of the receptor-binding domain (RBD) of the spike protein of SARS-CoV-2 bound to the cell receptor ACE2. The overall ACE2-binding mode of the SARS-CoV-2 RBD is nearly identical to that of the SARS-CoV RBD, which also uses ACE2 as the cell receptor4. Structural analysis identified residues in the SARS-CoV-2 RBD that are essential for ACE2 binding, the majority of which either are highly conserved or share similar side chain properties with those in the SARS-CoV RBD. Such similarity in structure and sequence strongly indicate convergent evolution between the SARS-CoV-2 and SARS-CoV RBDs for improved binding to ACE2, although SARS-CoV-2 does not cluster within SARS and SARS-related coronaviruses1–3,5. The epitopes of two SARS-CoV antibodies that target the RBD are also analysed for binding to the SARS-CoV-2 RBD, providing insights into the future identification of cross-reactive antibodies.","container-title":"Nature","DOI":"10.1038/s41586-020-2180-5","ISSN":"1476-4687","issue":"7807","language":"en","license":"2020 The Author(s), under exclusive licence to Springer Nature Limited","note":"number: 7807\npublisher: Nature Publishing Group","page":"215-220","source":"www.nature.com","title":"Structure of the SARS-CoV-2 spike receptor-binding domain bound to the ACE2 receptor","URL":"https://www.nature.com/articles/s41586-020-2180-5","volume":"581","author":[{"family":"Lan","given":"Jun"},{"family":"Ge","given":"Jiwan"},{"family":"Yu","given":"Jinfang"},{"family":"Shan","given":"Sisi"},{"family":"Zhou","given":"Huan"},{"family":"Fan","given":"Shilong"},{"family":"Zhang","given":"Qi"},{"family":"Shi","given":"Xuanling"},{"family":"Wang","given":"Qisheng"},{"family":"Zhang","given":"Linqi"},{"family":"Wang","given":"Xinquan"}],"accessed":{"date-parts":[["2023",3,22]]},"issued":{"date-parts":[["2020",5]]}}}],"schema":"https://github.com/citation-style-language/schema/raw/master/csl-citation.json"} </w:instrText>
      </w:r>
      <w:r w:rsidR="00DF51C9" w:rsidRPr="002974BE">
        <w:rPr>
          <w:rFonts w:asciiTheme="minorHAnsi" w:hAnsiTheme="minorHAnsi" w:cstheme="minorHAnsi"/>
        </w:rPr>
        <w:fldChar w:fldCharType="separate"/>
      </w:r>
      <w:r w:rsidR="00DF51C9" w:rsidRPr="002974BE">
        <w:rPr>
          <w:rFonts w:asciiTheme="minorHAnsi" w:hAnsiTheme="minorHAnsi" w:cstheme="minorHAnsi"/>
        </w:rPr>
        <w:t>(4–6)</w:t>
      </w:r>
      <w:r w:rsidR="00DF51C9" w:rsidRPr="002974BE">
        <w:rPr>
          <w:rFonts w:asciiTheme="minorHAnsi" w:hAnsiTheme="minorHAnsi" w:cstheme="minorHAnsi"/>
        </w:rPr>
        <w:fldChar w:fldCharType="end"/>
      </w:r>
      <w:r w:rsidR="00AF7676" w:rsidRPr="002974BE">
        <w:rPr>
          <w:rFonts w:asciiTheme="minorHAnsi" w:hAnsiTheme="minorHAnsi" w:cstheme="minorHAnsi"/>
        </w:rPr>
        <w:t>.</w:t>
      </w:r>
      <w:r w:rsidR="00DF51C9" w:rsidRPr="002974BE">
        <w:rPr>
          <w:rFonts w:asciiTheme="minorHAnsi" w:hAnsiTheme="minorHAnsi" w:cstheme="minorHAnsi"/>
        </w:rPr>
        <w:t xml:space="preserve"> </w:t>
      </w:r>
    </w:p>
    <w:p w14:paraId="5C8DC752" w14:textId="2AC13E26" w:rsidR="00ED0E29" w:rsidRPr="002974BE" w:rsidRDefault="006C1EED" w:rsidP="001D7F2E">
      <w:pPr>
        <w:pStyle w:val="NormalWeb"/>
        <w:shd w:val="clear" w:color="auto" w:fill="FFFFFF"/>
        <w:spacing w:after="240"/>
        <w:jc w:val="both"/>
        <w:rPr>
          <w:rFonts w:asciiTheme="minorHAnsi" w:hAnsiTheme="minorHAnsi" w:cstheme="minorHAnsi"/>
        </w:rPr>
      </w:pPr>
      <w:r w:rsidRPr="002974BE">
        <w:rPr>
          <w:rFonts w:asciiTheme="minorHAnsi" w:hAnsiTheme="minorHAnsi" w:cstheme="minorHAnsi"/>
        </w:rPr>
        <w:t xml:space="preserve">El COVID-19 </w:t>
      </w:r>
      <w:r w:rsidR="00556257" w:rsidRPr="002974BE">
        <w:rPr>
          <w:rFonts w:asciiTheme="minorHAnsi" w:hAnsiTheme="minorHAnsi" w:cstheme="minorHAnsi"/>
        </w:rPr>
        <w:t xml:space="preserve">había causado 4 000 000 de muertes hasta </w:t>
      </w:r>
      <w:r w:rsidR="00FB2219" w:rsidRPr="002974BE">
        <w:rPr>
          <w:rFonts w:asciiTheme="minorHAnsi" w:hAnsiTheme="minorHAnsi" w:cstheme="minorHAnsi"/>
        </w:rPr>
        <w:t xml:space="preserve">antes de la aprobación de la primera vacuna por la FDA </w:t>
      </w:r>
      <w:r w:rsidR="00FB2219" w:rsidRPr="002974BE">
        <w:rPr>
          <w:rFonts w:asciiTheme="minorHAnsi" w:hAnsiTheme="minorHAnsi" w:cstheme="minorHAnsi"/>
        </w:rPr>
        <w:fldChar w:fldCharType="begin"/>
      </w:r>
      <w:r w:rsidR="00831BD0" w:rsidRPr="002974BE">
        <w:rPr>
          <w:rFonts w:asciiTheme="minorHAnsi" w:hAnsiTheme="minorHAnsi" w:cstheme="minorHAnsi"/>
        </w:rPr>
        <w:instrText xml:space="preserve"> ADDIN ZOTERO_ITEM CSL_CITATION {"citationID":"yb9XURkN","properties":{"formattedCitation":"(7)","plainCitation":"(7)","noteIndex":0},"citationItems":[{"id":1100,"uris":["http://zotero.org/users/6047638/items/CQKRF6J9"],"itemData":{"id":1100,"type":"webpage","abstract":"La FDA aprobó la primera vacuna contra el COVID-19, que se comercializa ahora como Comirnaty (koe-mir'-na-tee), para la prevención de la enfermedad del COVID-19","container-title":"FDA","language":"en","note":"publisher: FDA","title":"La FDA aprueba la primera vacuna contra el COVID-19","URL":"https://www.fda.gov/news-events/press-announcements/la-fda-aprueba-la-primera-vacuna-contra-el-covid-19","author":[{"family":"Commissioner","given":"Office","dropping-particle":"of the"}],"accessed":{"date-parts":[["2023",3,22]]},"issued":{"date-parts":[["2021",8,24]]}}}],"schema":"https://github.com/citation-style-language/schema/raw/master/csl-citation.json"} </w:instrText>
      </w:r>
      <w:r w:rsidR="00FB2219" w:rsidRPr="002974BE">
        <w:rPr>
          <w:rFonts w:asciiTheme="minorHAnsi" w:hAnsiTheme="minorHAnsi" w:cstheme="minorHAnsi"/>
        </w:rPr>
        <w:fldChar w:fldCharType="separate"/>
      </w:r>
      <w:r w:rsidR="00831BD0" w:rsidRPr="002974BE">
        <w:rPr>
          <w:rFonts w:asciiTheme="minorHAnsi" w:hAnsiTheme="minorHAnsi" w:cstheme="minorHAnsi"/>
        </w:rPr>
        <w:t>(7)</w:t>
      </w:r>
      <w:r w:rsidR="00FB2219" w:rsidRPr="002974BE">
        <w:rPr>
          <w:rFonts w:asciiTheme="minorHAnsi" w:hAnsiTheme="minorHAnsi" w:cstheme="minorHAnsi"/>
        </w:rPr>
        <w:fldChar w:fldCharType="end"/>
      </w:r>
      <w:r w:rsidR="005F6FCB" w:rsidRPr="002974BE">
        <w:rPr>
          <w:rFonts w:asciiTheme="minorHAnsi" w:hAnsiTheme="minorHAnsi" w:cstheme="minorHAnsi"/>
        </w:rPr>
        <w:t xml:space="preserve"> en agosto del 2021</w:t>
      </w:r>
      <w:r w:rsidR="00FB2219" w:rsidRPr="002974BE">
        <w:rPr>
          <w:rFonts w:asciiTheme="minorHAnsi" w:hAnsiTheme="minorHAnsi" w:cstheme="minorHAnsi"/>
        </w:rPr>
        <w:t>.</w:t>
      </w:r>
      <w:r w:rsidR="00556257" w:rsidRPr="002974BE">
        <w:rPr>
          <w:rFonts w:asciiTheme="minorHAnsi" w:hAnsiTheme="minorHAnsi" w:cstheme="minorHAnsi"/>
        </w:rPr>
        <w:t xml:space="preserve"> </w:t>
      </w:r>
      <w:r w:rsidR="00372E0B" w:rsidRPr="002974BE">
        <w:rPr>
          <w:rFonts w:asciiTheme="minorHAnsi" w:hAnsiTheme="minorHAnsi" w:cstheme="minorHAnsi"/>
        </w:rPr>
        <w:t>Informes publicados poco después de la vacunación mundial contra el Covid-19 comenzaron a confirmar la eficacia de la vacuna observada en los ensayos clínicos</w:t>
      </w:r>
      <w:r w:rsidR="009D4B7C" w:rsidRPr="002974BE">
        <w:rPr>
          <w:rFonts w:asciiTheme="minorHAnsi" w:hAnsiTheme="minorHAnsi" w:cstheme="minorHAnsi"/>
        </w:rPr>
        <w:t xml:space="preserve"> </w:t>
      </w:r>
      <w:r w:rsidR="009D4B7C" w:rsidRPr="002974BE">
        <w:rPr>
          <w:rFonts w:asciiTheme="minorHAnsi" w:hAnsiTheme="minorHAnsi" w:cstheme="minorHAnsi"/>
        </w:rPr>
        <w:fldChar w:fldCharType="begin"/>
      </w:r>
      <w:r w:rsidR="00831BD0" w:rsidRPr="002974BE">
        <w:rPr>
          <w:rFonts w:asciiTheme="minorHAnsi" w:hAnsiTheme="minorHAnsi" w:cstheme="minorHAnsi"/>
        </w:rPr>
        <w:instrText xml:space="preserve"> ADDIN ZOTERO_ITEM CSL_CITATION {"citationID":"ok5xWuA6","properties":{"formattedCitation":"(8)","plainCitation":"(8)","noteIndex":0},"citationItems":[{"id":1102,"uris":["http://zotero.org/users/6047638/items/WFDVV7X4"],"itemData":{"id":1102,"type":"article-journal","abstract":"Introduction: Since the SARS-CoV-2 virus emerged, there have been efforts to develop vaccines to control the COVID-19 pandemic. Objective: Was to assess evidence efficacy and safety of the BNT162b2, mRNA-1273, ChAdOx1/AZD1222 and Gam-COVID-Vac rAd26-S/rAd5-S vaccines against the SARS-CoV-2 virus. Materials and methods: We searched in PubMed/MEDLINE, Google Scholar, Cochrane, and the WHO International Clinical Trials Registry Platform on 15 March 2021. We measured the risk of bias of the studies and the quality of the evidence through GRADE profiles. A qualitative and quantitative analysis of the results of clinical trials was presented. Results: We identified 74 studies and included 4 in the review. The efficacy of the BNT162b2, mRNA-1273, ChAdOx1/AZD1222 and Gam-COVID-VacrAd26-S/rAd5-S vaccines against symptomatic COVID-19 was 95.0% (95% CI, 90.3 to 97.6), 94.1% (95% CI, 89.3 to 96.8), 66.7% (95% CI, 57.4 to 74.0), and 91.1% (95% CI, 83.8 to 95.1) respectively, and there was moderate certainty of the evidence due to serious indirectness. The safety profiles were acceptable, data on serious adverse events (summary RR: 0.93; 95% CI, 0.77 to 1.12; P =0.16) and deaths from all causes (summary RR: 0.70; 95% CI, 0.33 to 1.50; P =0.90) showed no significant differences. Conclusion: The results of this review support the level of evidence for the efficacy and safety of the COVID-19 vaccines that were analyzed. © 2022","archive":"Scopus","container-title":"Biomedica","DOI":"10.7705/biomedica.6254","ISSN":"0120-4157","issue":"2","language":"English","page":"1-23","source":"Scopus","title":"Efficacy and safety of four vaccines in preventing SARS-CoV-2 coronavirus infection (COVID-19): A rapid review","title-short":"Eficacia y seguridad de cuatro vacunas para prevenir la infección por coronavirus SARS-CoV-2 (COVID-19): Una revisión rápida Vacunas que previenen el COVID-1","volume":"42","author":[{"family":"Morón-Duarte","given":"L.S."},{"family":"Chacón","given":"K.R."},{"family":"Gutiérrez","given":"M.P."},{"family":"De La Hoz","given":"I.H."},{"family":"Yomayusa","given":"N."}],"issued":{"date-parts":[["2022"]]}}}],"schema":"https://github.com/citation-style-language/schema/raw/master/csl-citation.json"} </w:instrText>
      </w:r>
      <w:r w:rsidR="009D4B7C" w:rsidRPr="002974BE">
        <w:rPr>
          <w:rFonts w:asciiTheme="minorHAnsi" w:hAnsiTheme="minorHAnsi" w:cstheme="minorHAnsi"/>
        </w:rPr>
        <w:fldChar w:fldCharType="separate"/>
      </w:r>
      <w:r w:rsidR="00831BD0" w:rsidRPr="002974BE">
        <w:rPr>
          <w:rFonts w:asciiTheme="minorHAnsi" w:hAnsiTheme="minorHAnsi" w:cstheme="minorHAnsi"/>
        </w:rPr>
        <w:t>(8)</w:t>
      </w:r>
      <w:r w:rsidR="009D4B7C" w:rsidRPr="002974BE">
        <w:rPr>
          <w:rFonts w:asciiTheme="minorHAnsi" w:hAnsiTheme="minorHAnsi" w:cstheme="minorHAnsi"/>
        </w:rPr>
        <w:fldChar w:fldCharType="end"/>
      </w:r>
      <w:r w:rsidR="00372E0B" w:rsidRPr="002974BE">
        <w:rPr>
          <w:rFonts w:asciiTheme="minorHAnsi" w:hAnsiTheme="minorHAnsi" w:cstheme="minorHAnsi"/>
        </w:rPr>
        <w:t xml:space="preserve">. </w:t>
      </w:r>
    </w:p>
    <w:p w14:paraId="0F16C92F" w14:textId="1FBD53B6" w:rsidR="002224EE" w:rsidRPr="002974BE" w:rsidRDefault="00372E0B" w:rsidP="001D7F2E">
      <w:pPr>
        <w:pStyle w:val="NormalWeb"/>
        <w:shd w:val="clear" w:color="auto" w:fill="FFFFFF"/>
        <w:spacing w:after="240"/>
        <w:jc w:val="both"/>
        <w:rPr>
          <w:rFonts w:asciiTheme="minorHAnsi" w:hAnsiTheme="minorHAnsi" w:cstheme="minorHAnsi"/>
        </w:rPr>
      </w:pPr>
      <w:r w:rsidRPr="002974BE">
        <w:rPr>
          <w:rFonts w:asciiTheme="minorHAnsi" w:hAnsiTheme="minorHAnsi" w:cstheme="minorHAnsi"/>
        </w:rPr>
        <w:t>En pacientes previamente infectados, niveles de anticuerpos contra SARS</w:t>
      </w:r>
      <w:r w:rsidR="00FB2219" w:rsidRPr="002974BE">
        <w:rPr>
          <w:rFonts w:asciiTheme="minorHAnsi" w:hAnsiTheme="minorHAnsi" w:cstheme="minorHAnsi"/>
        </w:rPr>
        <w:t xml:space="preserve">- </w:t>
      </w:r>
      <w:proofErr w:type="spellStart"/>
      <w:r w:rsidRPr="002974BE">
        <w:rPr>
          <w:rFonts w:asciiTheme="minorHAnsi" w:hAnsiTheme="minorHAnsi" w:cstheme="minorHAnsi"/>
        </w:rPr>
        <w:t>CoV</w:t>
      </w:r>
      <w:proofErr w:type="spellEnd"/>
      <w:r w:rsidRPr="002974BE">
        <w:rPr>
          <w:rFonts w:asciiTheme="minorHAnsi" w:hAnsiTheme="minorHAnsi" w:cstheme="minorHAnsi"/>
        </w:rPr>
        <w:t>- 2 después de una dosis fueron significativamente más altos que en pacientes sin infección previa</w:t>
      </w:r>
      <w:r w:rsidR="000E2E1A" w:rsidRPr="002974BE">
        <w:rPr>
          <w:rFonts w:asciiTheme="minorHAnsi" w:hAnsiTheme="minorHAnsi" w:cstheme="minorHAnsi"/>
        </w:rPr>
        <w:t xml:space="preserve"> </w:t>
      </w:r>
      <w:proofErr w:type="gramStart"/>
      <w:r w:rsidR="000E2E1A" w:rsidRPr="002974BE">
        <w:rPr>
          <w:rFonts w:asciiTheme="minorHAnsi" w:hAnsiTheme="minorHAnsi" w:cstheme="minorHAnsi"/>
        </w:rPr>
        <w:t>y</w:t>
      </w:r>
      <w:r w:rsidRPr="002974BE">
        <w:rPr>
          <w:rFonts w:asciiTheme="minorHAnsi" w:hAnsiTheme="minorHAnsi" w:cstheme="minorHAnsi"/>
        </w:rPr>
        <w:t xml:space="preserve">  completamente</w:t>
      </w:r>
      <w:proofErr w:type="gramEnd"/>
      <w:r w:rsidRPr="002974BE">
        <w:rPr>
          <w:rFonts w:asciiTheme="minorHAnsi" w:hAnsiTheme="minorHAnsi" w:cstheme="minorHAnsi"/>
        </w:rPr>
        <w:t xml:space="preserve"> vacunados 3-4 semanas después de la segunda dosis.</w:t>
      </w:r>
      <w:r w:rsidR="002224EE" w:rsidRPr="002974BE">
        <w:rPr>
          <w:rFonts w:asciiTheme="minorHAnsi" w:hAnsiTheme="minorHAnsi" w:cstheme="minorHAnsi"/>
        </w:rPr>
        <w:t xml:space="preserve"> Por lo tanto, l</w:t>
      </w:r>
      <w:r w:rsidR="007B3DEE" w:rsidRPr="002974BE">
        <w:rPr>
          <w:rFonts w:asciiTheme="minorHAnsi" w:hAnsiTheme="minorHAnsi" w:cstheme="minorHAnsi"/>
        </w:rPr>
        <w:t>os ensayos serológicos de SARS-CoV-2 permiten identificar a las personas infectadas recientemente o en el pasado, evaluar respuestas inmunes humorales provocadas por las vacunas</w:t>
      </w:r>
      <w:r w:rsidR="006A3B7B" w:rsidRPr="002974BE">
        <w:rPr>
          <w:rFonts w:asciiTheme="minorHAnsi" w:hAnsiTheme="minorHAnsi" w:cstheme="minorHAnsi"/>
        </w:rPr>
        <w:t xml:space="preserve"> y conocer la</w:t>
      </w:r>
      <w:r w:rsidR="007B3DEE" w:rsidRPr="002974BE">
        <w:rPr>
          <w:rFonts w:asciiTheme="minorHAnsi" w:hAnsiTheme="minorHAnsi" w:cstheme="minorHAnsi"/>
        </w:rPr>
        <w:t xml:space="preserve"> susceptibilidad a la reinfección o infección primaria en vacunados</w:t>
      </w:r>
      <w:r w:rsidR="000E2E1A" w:rsidRPr="002974BE">
        <w:rPr>
          <w:rFonts w:asciiTheme="minorHAnsi" w:hAnsiTheme="minorHAnsi" w:cstheme="minorHAnsi"/>
        </w:rPr>
        <w:t xml:space="preserve"> </w:t>
      </w:r>
      <w:r w:rsidR="000E2E1A" w:rsidRPr="002974BE">
        <w:rPr>
          <w:rFonts w:asciiTheme="minorHAnsi" w:hAnsiTheme="minorHAnsi" w:cstheme="minorHAnsi"/>
        </w:rPr>
        <w:fldChar w:fldCharType="begin"/>
      </w:r>
      <w:r w:rsidR="000E2E1A" w:rsidRPr="002974BE">
        <w:rPr>
          <w:rFonts w:asciiTheme="minorHAnsi" w:hAnsiTheme="minorHAnsi" w:cstheme="minorHAnsi"/>
        </w:rPr>
        <w:instrText xml:space="preserve"> ADDIN ZOTERO_ITEM CSL_CITATION {"citationID":"KZmOgyOY","properties":{"formattedCitation":"(9)","plainCitation":"(9)","noteIndex":0},"citationItems":[{"id":1108,"uris":["http://zotero.org/users/6047638/items/IVLSLSNX"],"itemData":{"id":1108,"type":"article-journal","container-title":"New England Journal of Medicine","DOI":"10.1056/NEJMc2102051","ISSN":"0028-4793","issue":"20","note":"publisher: Massachusetts Medical Society\n_eprint: https://doi.org/10.1056/NEJMc2102051\nPMID: 33755375","page":"1959-1961","source":"Taylor and Francis+NEJM","title":"Antibody Responses after a Single Dose of SARS-CoV-2 mRNA Vaccine","URL":"https://doi.org/10.1056/NEJMc2102051","volume":"384","author":[{"family":"Bradley","given":"Todd"},{"family":"Grundberg","given":"Elin"},{"family":"Selvarangan","given":"Rangaraj"},{"family":"LeMaster","given":"Cas"},{"family":"Fraley","given":"Elizabeth"},{"family":"Banerjee","given":"Dithi"},{"family":"Belden","given":"Bradley"},{"family":"Louiselle","given":"Daniel"},{"family":"Nolte","given":"Nick"},{"family":"Biswell","given":"Rebecca"},{"family":"Pastinen","given":"Tomi"},{"family":"Myers","given":"Angela"},{"family":"Schuster","given":"Jennifer"}],"accessed":{"date-parts":[["2023",3,27]]},"issued":{"date-parts":[["2021",5,20]]}}}],"schema":"https://github.com/citation-style-language/schema/raw/master/csl-citation.json"} </w:instrText>
      </w:r>
      <w:r w:rsidR="000E2E1A" w:rsidRPr="002974BE">
        <w:rPr>
          <w:rFonts w:asciiTheme="minorHAnsi" w:hAnsiTheme="minorHAnsi" w:cstheme="minorHAnsi"/>
        </w:rPr>
        <w:fldChar w:fldCharType="separate"/>
      </w:r>
      <w:r w:rsidR="000E2E1A" w:rsidRPr="002974BE">
        <w:rPr>
          <w:rFonts w:asciiTheme="minorHAnsi" w:hAnsiTheme="minorHAnsi" w:cstheme="minorHAnsi"/>
        </w:rPr>
        <w:t>(9)</w:t>
      </w:r>
      <w:r w:rsidR="000E2E1A" w:rsidRPr="002974BE">
        <w:rPr>
          <w:rFonts w:asciiTheme="minorHAnsi" w:hAnsiTheme="minorHAnsi" w:cstheme="minorHAnsi"/>
        </w:rPr>
        <w:fldChar w:fldCharType="end"/>
      </w:r>
      <w:r w:rsidR="007B3DEE" w:rsidRPr="002974BE">
        <w:rPr>
          <w:rFonts w:asciiTheme="minorHAnsi" w:hAnsiTheme="minorHAnsi" w:cstheme="minorHAnsi"/>
        </w:rPr>
        <w:t>.</w:t>
      </w:r>
    </w:p>
    <w:p w14:paraId="061B8CA7" w14:textId="03D690FF" w:rsidR="00FF2559" w:rsidRPr="002974BE" w:rsidRDefault="00FF2559" w:rsidP="001D7F2E">
      <w:pPr>
        <w:pStyle w:val="NormalWeb"/>
        <w:shd w:val="clear" w:color="auto" w:fill="FFFFFF"/>
        <w:spacing w:after="240"/>
        <w:jc w:val="both"/>
        <w:rPr>
          <w:rFonts w:asciiTheme="minorHAnsi" w:hAnsiTheme="minorHAnsi" w:cstheme="minorHAnsi"/>
        </w:rPr>
      </w:pPr>
      <w:r w:rsidRPr="002974BE">
        <w:rPr>
          <w:rFonts w:asciiTheme="minorHAnsi" w:hAnsiTheme="minorHAnsi" w:cstheme="minorHAnsi"/>
        </w:rPr>
        <w:t xml:space="preserve">En el Perú, se han reportado alta tasa de contagio en el personal de salud, por la falta de condiciones laborales adecuadas, ya sea por no contar con el equipo de protección o por </w:t>
      </w:r>
      <w:r w:rsidR="00831BD0" w:rsidRPr="002974BE">
        <w:rPr>
          <w:rFonts w:asciiTheme="minorHAnsi" w:hAnsiTheme="minorHAnsi" w:cstheme="minorHAnsi"/>
        </w:rPr>
        <w:t xml:space="preserve">una inadecuada </w:t>
      </w:r>
      <w:proofErr w:type="spellStart"/>
      <w:r w:rsidRPr="002974BE">
        <w:rPr>
          <w:rFonts w:asciiTheme="minorHAnsi" w:hAnsiTheme="minorHAnsi" w:cstheme="minorHAnsi"/>
        </w:rPr>
        <w:t>vetilación</w:t>
      </w:r>
      <w:proofErr w:type="spellEnd"/>
      <w:r w:rsidRPr="002974BE">
        <w:rPr>
          <w:rFonts w:asciiTheme="minorHAnsi" w:hAnsiTheme="minorHAnsi" w:cstheme="minorHAnsi"/>
        </w:rPr>
        <w:t xml:space="preserve"> en el lugar de trabajo</w:t>
      </w:r>
      <w:r w:rsidR="00831BD0" w:rsidRPr="002974BE">
        <w:rPr>
          <w:rFonts w:asciiTheme="minorHAnsi" w:hAnsiTheme="minorHAnsi" w:cstheme="minorHAnsi"/>
        </w:rPr>
        <w:t xml:space="preserve"> </w:t>
      </w:r>
      <w:r w:rsidR="00831BD0" w:rsidRPr="002974BE">
        <w:rPr>
          <w:rFonts w:asciiTheme="minorHAnsi" w:hAnsiTheme="minorHAnsi" w:cstheme="minorHAnsi"/>
        </w:rPr>
        <w:fldChar w:fldCharType="begin"/>
      </w:r>
      <w:r w:rsidR="00C43A2A" w:rsidRPr="002974BE">
        <w:rPr>
          <w:rFonts w:asciiTheme="minorHAnsi" w:hAnsiTheme="minorHAnsi" w:cstheme="minorHAnsi"/>
        </w:rPr>
        <w:instrText xml:space="preserve"> ADDIN ZOTERO_ITEM CSL_CITATION {"citationID":"gVk9JEUS","properties":{"formattedCitation":"(10)","plainCitation":"(10)","noteIndex":0},"citationItems":[{"id":1114,"uris":["http://zotero.org/users/6047638/items/HG6ZYQDZ"],"itemData":{"id":1114,"type":"article-journal","abstract":"Objetivo:Determinar la asociación entre las condiciones laborales y el acceso al equipo de protección personal (EPP) en el personal de salud de la ciudad de Lima-Perú.Métodos:Estudio descriptivo, transversal y analítico. La muestra fue de 271 encuestados virtualmente en la ciudad de Lima, que cumplieron los criterios de selección, captados entre el 09/07/2020 al 09/08/2020. El instrumento de recolección de datos fue validado por juicio de expertos con un puntaje &gt;80% (validez de contenido). Se realizó un análisis con el modelo lineal generalizado de familia Poisson, función de enlace log, modelos robustos con ajuste. Se consideró un valor estadísticamente significativo de p&lt;0,05.Resultados:El 55% del personal de salud (PS) trabajaron más de 12 horas y solo el 53% recibieron un EPP por día de trabajo. El 40% del PS casi nunca recibió una mascarilla. En el análisis multivariado el PS con edades &lt;26 años (p=0,00) y de 26 a 55 años (p=0,00) recibieron un EPP incompleto. Los PS que no tenían un vínculo laboral con la institución (p=0,02) recibieron una mascarilla en pocas oportunidades.Conclusión: :El personal de la salud menores de 56 años recibieron con poca frecuencia un EPP. Cuando trabajan sin un vínculo laboral reciben algunas veces una mascarilla.Palabras Claves: de protección personal; COVID-19; personal de salud; condiciones laborales y salud ocupacional (Fuente: DeCS BIREME).","container-title":"Revista de la Facultad de Medicina Humana","DOI":"10.25176/rfmh.v21i2.3608","ISSN":"2308-0531","issue":"2","note":"publisher: Universidad Ricardo Palma (URP)","page":"335-345","source":"SciELO","title":"Condiciones laborales y equipos de protección personal contra el Covid-19 en personal de salud, Lima-Perú","URL":"http://www.scielo.org.pe/scielo.php?script=sci_abstract&amp;pid=S2308-05312021000200335&amp;lng=es&amp;nrm=iso&amp;tlng=es","volume":"21","author":[{"family":"Raraz-Vidal","given":"Jarvis Giusseppe"},{"family":"Allpas-Gomez","given":"Henry Lowell"},{"family":"Torres-Salome","given":"Flor Karina"},{"family":"Cabrera-Patiño","given":"Wenner Manuel"},{"family":"Alcántara-Leyva","given":"Lilian Maria"},{"family":"Ramos-Gómez","given":"Rafael Paolo"},{"family":"Aldea-Chihuantito","given":"Flor Karina"},{"family":"Colona-Risco","given":"Viviana"},{"family":"Raraz-Vidal","given":"Omar Baldomero"},{"family":"Raraz-Vidal","given":"Jarvis Giusseppe"},{"family":"Allpas-Gomez","given":"Henry Lowell"},{"family":"Torres-Salome","given":"Flor Karina"},{"family":"Cabrera-Patiño","given":"Wenner Manuel"},{"family":"Alcántara-Leyva","given":"Lilian Maria"},{"family":"Ramos-Gómez","given":"Rafael Paolo"},{"family":"Aldea-Chihuantito","given":"Flor Karina"},{"family":"Colona-Risco","given":"Viviana"},{"family":"Raraz-Vidal","given":"Omar Baldomero"}],"accessed":{"date-parts":[["2023",4,1]]},"issued":{"date-parts":[["2021",4]]}}}],"schema":"https://github.com/citation-style-language/schema/raw/master/csl-citation.json"} </w:instrText>
      </w:r>
      <w:r w:rsidR="00831BD0" w:rsidRPr="002974BE">
        <w:rPr>
          <w:rFonts w:asciiTheme="minorHAnsi" w:hAnsiTheme="minorHAnsi" w:cstheme="minorHAnsi"/>
        </w:rPr>
        <w:fldChar w:fldCharType="separate"/>
      </w:r>
      <w:r w:rsidR="00C43A2A" w:rsidRPr="002974BE">
        <w:rPr>
          <w:rFonts w:asciiTheme="minorHAnsi" w:hAnsiTheme="minorHAnsi" w:cstheme="minorHAnsi"/>
        </w:rPr>
        <w:t>(10)</w:t>
      </w:r>
      <w:r w:rsidR="00831BD0" w:rsidRPr="002974BE">
        <w:rPr>
          <w:rFonts w:asciiTheme="minorHAnsi" w:hAnsiTheme="minorHAnsi" w:cstheme="minorHAnsi"/>
        </w:rPr>
        <w:fldChar w:fldCharType="end"/>
      </w:r>
      <w:r w:rsidR="00831BD0" w:rsidRPr="002974BE">
        <w:rPr>
          <w:rFonts w:asciiTheme="minorHAnsi" w:hAnsiTheme="minorHAnsi" w:cstheme="minorHAnsi"/>
        </w:rPr>
        <w:t>. Ahora bien, la vacunación en el personal de salud se realiz</w:t>
      </w:r>
      <w:r w:rsidR="001C2BBF">
        <w:rPr>
          <w:rFonts w:asciiTheme="minorHAnsi" w:hAnsiTheme="minorHAnsi" w:cstheme="minorHAnsi"/>
        </w:rPr>
        <w:t>ó</w:t>
      </w:r>
      <w:r w:rsidR="00831BD0" w:rsidRPr="002974BE">
        <w:rPr>
          <w:rFonts w:asciiTheme="minorHAnsi" w:hAnsiTheme="minorHAnsi" w:cstheme="minorHAnsi"/>
        </w:rPr>
        <w:t xml:space="preserve"> de forma temprana con la llega</w:t>
      </w:r>
      <w:r w:rsidR="00A41A66" w:rsidRPr="002974BE">
        <w:rPr>
          <w:rFonts w:asciiTheme="minorHAnsi" w:hAnsiTheme="minorHAnsi" w:cstheme="minorHAnsi"/>
        </w:rPr>
        <w:t>da</w:t>
      </w:r>
      <w:r w:rsidR="00831BD0" w:rsidRPr="002974BE">
        <w:rPr>
          <w:rFonts w:asciiTheme="minorHAnsi" w:hAnsiTheme="minorHAnsi" w:cstheme="minorHAnsi"/>
        </w:rPr>
        <w:t xml:space="preserve"> de</w:t>
      </w:r>
      <w:r w:rsidR="00A41A66" w:rsidRPr="002974BE">
        <w:rPr>
          <w:rFonts w:asciiTheme="minorHAnsi" w:hAnsiTheme="minorHAnsi" w:cstheme="minorHAnsi"/>
        </w:rPr>
        <w:t>l primer lote de</w:t>
      </w:r>
      <w:r w:rsidR="00831BD0" w:rsidRPr="002974BE">
        <w:rPr>
          <w:rFonts w:asciiTheme="minorHAnsi" w:hAnsiTheme="minorHAnsi" w:cstheme="minorHAnsi"/>
        </w:rPr>
        <w:t xml:space="preserve"> vacunas </w:t>
      </w:r>
      <w:r w:rsidR="00A41A66" w:rsidRPr="002974BE">
        <w:rPr>
          <w:rFonts w:asciiTheme="minorHAnsi" w:hAnsiTheme="minorHAnsi" w:cstheme="minorHAnsi"/>
        </w:rPr>
        <w:t xml:space="preserve">en febrero del </w:t>
      </w:r>
      <w:r w:rsidR="00831BD0" w:rsidRPr="002974BE">
        <w:rPr>
          <w:rFonts w:asciiTheme="minorHAnsi" w:hAnsiTheme="minorHAnsi" w:cstheme="minorHAnsi"/>
        </w:rPr>
        <w:t>2021, obteniendo hasta la actualidad 5 dosis de las marcas</w:t>
      </w:r>
      <w:r w:rsidR="00ED1AFA" w:rsidRPr="002974BE">
        <w:rPr>
          <w:rFonts w:asciiTheme="minorHAnsi" w:hAnsiTheme="minorHAnsi" w:cstheme="minorHAnsi"/>
        </w:rPr>
        <w:t>:</w:t>
      </w:r>
      <w:r w:rsidR="00831BD0" w:rsidRPr="002974BE">
        <w:rPr>
          <w:rFonts w:asciiTheme="minorHAnsi" w:hAnsiTheme="minorHAnsi" w:cstheme="minorHAnsi"/>
        </w:rPr>
        <w:t xml:space="preserve"> </w:t>
      </w:r>
      <w:r w:rsidR="006123B0" w:rsidRPr="002974BE">
        <w:rPr>
          <w:rFonts w:asciiTheme="minorHAnsi" w:hAnsiTheme="minorHAnsi" w:cstheme="minorHAnsi"/>
        </w:rPr>
        <w:t>Sinopharm, Pfizer</w:t>
      </w:r>
      <w:r w:rsidR="00A41A66" w:rsidRPr="002974BE">
        <w:rPr>
          <w:rFonts w:asciiTheme="minorHAnsi" w:hAnsiTheme="minorHAnsi" w:cstheme="minorHAnsi"/>
        </w:rPr>
        <w:t>-BioNTech</w:t>
      </w:r>
      <w:r w:rsidR="00ED1AFA" w:rsidRPr="002974BE">
        <w:rPr>
          <w:rFonts w:asciiTheme="minorHAnsi" w:hAnsiTheme="minorHAnsi" w:cstheme="minorHAnsi"/>
        </w:rPr>
        <w:t xml:space="preserve"> y</w:t>
      </w:r>
      <w:r w:rsidR="006123B0" w:rsidRPr="002974BE">
        <w:rPr>
          <w:rFonts w:asciiTheme="minorHAnsi" w:hAnsiTheme="minorHAnsi" w:cstheme="minorHAnsi"/>
        </w:rPr>
        <w:t xml:space="preserve"> Moderna </w:t>
      </w:r>
      <w:proofErr w:type="spellStart"/>
      <w:r w:rsidR="006123B0" w:rsidRPr="002974BE">
        <w:rPr>
          <w:rFonts w:asciiTheme="minorHAnsi" w:hAnsiTheme="minorHAnsi" w:cstheme="minorHAnsi"/>
        </w:rPr>
        <w:t>Tx</w:t>
      </w:r>
      <w:proofErr w:type="spellEnd"/>
      <w:r w:rsidR="006123B0" w:rsidRPr="002974BE">
        <w:rPr>
          <w:rFonts w:asciiTheme="minorHAnsi" w:hAnsiTheme="minorHAnsi" w:cstheme="minorHAnsi"/>
        </w:rPr>
        <w:t xml:space="preserve"> </w:t>
      </w:r>
      <w:r w:rsidR="006123B0" w:rsidRPr="002974BE">
        <w:rPr>
          <w:rFonts w:asciiTheme="minorHAnsi" w:hAnsiTheme="minorHAnsi" w:cstheme="minorHAnsi"/>
        </w:rPr>
        <w:fldChar w:fldCharType="begin"/>
      </w:r>
      <w:r w:rsidR="00C43A2A" w:rsidRPr="002974BE">
        <w:rPr>
          <w:rFonts w:asciiTheme="minorHAnsi" w:hAnsiTheme="minorHAnsi" w:cstheme="minorHAnsi"/>
        </w:rPr>
        <w:instrText xml:space="preserve"> ADDIN ZOTERO_ITEM CSL_CITATION {"citationID":"9VrqPPqk","properties":{"formattedCitation":"(11)","plainCitation":"(11)","noteIndex":0},"citationItems":[{"id":1119,"uris":["http://zotero.org/users/6047638/items/HXI65DWY"],"itemData":{"id":1119,"type":"webpage","abstract":"Puedes verificar la aplicación de tu vacuna contra el coronavirus u otras que hayas recibido recientemente en el Carné de vacunación web del Ministerio de Salud. Aquí, está registrada la fecha y lugar donde se te inmunizó, además del tipo de vacuna que recibiste, el fabricante de la vacuna y el número de lote.","language":"es","title":"MINSA - Carné Vacunación","URL":"https://consultas-dev.sc.minsa.mvpdemoapp.com/","accessed":{"date-parts":[["2023",4,1]]}}}],"schema":"https://github.com/citation-style-language/schema/raw/master/csl-citation.json"} </w:instrText>
      </w:r>
      <w:r w:rsidR="006123B0" w:rsidRPr="002974BE">
        <w:rPr>
          <w:rFonts w:asciiTheme="minorHAnsi" w:hAnsiTheme="minorHAnsi" w:cstheme="minorHAnsi"/>
        </w:rPr>
        <w:fldChar w:fldCharType="separate"/>
      </w:r>
      <w:r w:rsidR="00C43A2A" w:rsidRPr="002974BE">
        <w:rPr>
          <w:rFonts w:asciiTheme="minorHAnsi" w:hAnsiTheme="minorHAnsi" w:cstheme="minorHAnsi"/>
        </w:rPr>
        <w:t>(11)</w:t>
      </w:r>
      <w:r w:rsidR="006123B0" w:rsidRPr="002974BE">
        <w:rPr>
          <w:rFonts w:asciiTheme="minorHAnsi" w:hAnsiTheme="minorHAnsi" w:cstheme="minorHAnsi"/>
        </w:rPr>
        <w:fldChar w:fldCharType="end"/>
      </w:r>
      <w:r w:rsidR="00A41A66" w:rsidRPr="002974BE">
        <w:rPr>
          <w:rFonts w:asciiTheme="minorHAnsi" w:hAnsiTheme="minorHAnsi" w:cstheme="minorHAnsi"/>
        </w:rPr>
        <w:t xml:space="preserve">; </w:t>
      </w:r>
      <w:r w:rsidR="000E2E1A" w:rsidRPr="002974BE">
        <w:rPr>
          <w:rFonts w:asciiTheme="minorHAnsi" w:hAnsiTheme="minorHAnsi" w:cstheme="minorHAnsi"/>
        </w:rPr>
        <w:t xml:space="preserve">todas </w:t>
      </w:r>
      <w:r w:rsidR="00A41A66" w:rsidRPr="002974BE">
        <w:rPr>
          <w:rFonts w:asciiTheme="minorHAnsi" w:hAnsiTheme="minorHAnsi" w:cstheme="minorHAnsi"/>
        </w:rPr>
        <w:t>con una eficaci</w:t>
      </w:r>
      <w:r w:rsidR="001C2BBF">
        <w:rPr>
          <w:rFonts w:asciiTheme="minorHAnsi" w:hAnsiTheme="minorHAnsi" w:cstheme="minorHAnsi"/>
        </w:rPr>
        <w:t>a</w:t>
      </w:r>
      <w:r w:rsidR="00A41A66" w:rsidRPr="002974BE">
        <w:rPr>
          <w:rFonts w:asciiTheme="minorHAnsi" w:hAnsiTheme="minorHAnsi" w:cstheme="minorHAnsi"/>
        </w:rPr>
        <w:t xml:space="preserve"> mayor o igual del 79%</w:t>
      </w:r>
      <w:r w:rsidR="00A71501" w:rsidRPr="002974BE">
        <w:rPr>
          <w:rFonts w:asciiTheme="minorHAnsi" w:hAnsiTheme="minorHAnsi" w:cstheme="minorHAnsi"/>
        </w:rPr>
        <w:t xml:space="preserve"> </w:t>
      </w:r>
      <w:r w:rsidR="00A71501" w:rsidRPr="002974BE">
        <w:rPr>
          <w:rFonts w:asciiTheme="minorHAnsi" w:hAnsiTheme="minorHAnsi" w:cstheme="minorHAnsi"/>
        </w:rPr>
        <w:fldChar w:fldCharType="begin"/>
      </w:r>
      <w:r w:rsidR="00C43A2A" w:rsidRPr="002974BE">
        <w:rPr>
          <w:rFonts w:asciiTheme="minorHAnsi" w:hAnsiTheme="minorHAnsi" w:cstheme="minorHAnsi"/>
        </w:rPr>
        <w:instrText xml:space="preserve"> ADDIN ZOTERO_ITEM CSL_CITATION {"citationID":"G6hF32Vi","properties":{"formattedCitation":"(12,13)","plainCitation":"(12,13)","noteIndex":0},"citationItems":[{"id":1123,"uris":["http://zotero.org/users/6047638/items/MECS2JV7"],"itemData":{"id":1123,"type":"webpage","language":"es","title":"Vacunas SARS-COV2 marzo 2021 | Nefrología al día","URL":"http://www.nefrologiaaldia.org/es-articulo-vacunas-sars-cov2-marzo-2021-366","accessed":{"date-parts":[["2023",4,1]]}}},{"id":1125,"uris":["http://zotero.org/users/6047638/items/EA7JV39C"],"itemData":{"id":1125,"type":"article-journal","abstract":"•\n              Actualmente se están administrando cuatro vacunas en España con dos tecnologías diferentes: ARNm (Comirnaty y Moderna) y de vectores (Vaxzevria y Janssen).\n            \n            \n              •\n              Se habían administrado hasta junio de 2021 más de 38 millones de dosis y 15 millones de ciudadanos tenían la pauta vacunal completa.\n            \n            \n              •\n              Las vacunas han demostrado en los ensayos clínicos ser eficaces tanto para prevenir la infección como la hospitalización y el fallecimiento.\n            \n            \n              •\n              Los datos más concluyentes de su efectividad son en población mayor de 65 años ingresados en residencias.\n            \n            \n              •\n              Aún no disponemos de información para conocer la efectividad vacunal en otros segmentos poblacionales.\n            \n            \n              •\n              En general, las vacunas son seguras, aunque aparecen efectos adversos poco frecuentes, pero potencialmente graves, que requieren alta sospecha clínica y seguimiento: síndrome trombosis-trombocitopenia, síndrome de fuga capilar, miocarditis, cuadros anafilácticos, adenopatías.\n            \n            \n              •\n              Los sanitarios tienen un papel fundamental en la aceptabilidad y seguridad vacunal por la sospecha y notificación de posibles efectos adversos y la información dada a la ciudadanía.","container-title":"Fmc","DOI":"10.1016/j.fmc.2021.07.001","ISSN":"1134-2072","issue":"8","journalAbbreviation":"FMC","note":"PMID: 34611388\nPMCID: PMC8483629","page":"442-451","source":"PubMed Central","title":"Efectividad y seguridad de las vacunas para el SARS-CoV-2 actualmente disponibles","URL":"https://www.ncbi.nlm.nih.gov/pmc/articles/PMC8483629/","volume":"28","author":[{"family":"Marco","given":"José Javier Gómez"},{"family":"Pasquín","given":"María José Álvarez"},{"family":"Martín","given":"Susana Martín"}],"accessed":{"date-parts":[["2023",4,1]]},"issued":{"date-parts":[["2021",10]]}}}],"schema":"https://github.com/citation-style-language/schema/raw/master/csl-citation.json"} </w:instrText>
      </w:r>
      <w:r w:rsidR="00A71501" w:rsidRPr="002974BE">
        <w:rPr>
          <w:rFonts w:asciiTheme="minorHAnsi" w:hAnsiTheme="minorHAnsi" w:cstheme="minorHAnsi"/>
        </w:rPr>
        <w:fldChar w:fldCharType="separate"/>
      </w:r>
      <w:r w:rsidR="00C43A2A" w:rsidRPr="002974BE">
        <w:rPr>
          <w:rFonts w:asciiTheme="minorHAnsi" w:hAnsiTheme="minorHAnsi" w:cstheme="minorHAnsi"/>
        </w:rPr>
        <w:t>(12,13)</w:t>
      </w:r>
      <w:r w:rsidR="00A71501" w:rsidRPr="002974BE">
        <w:rPr>
          <w:rFonts w:asciiTheme="minorHAnsi" w:hAnsiTheme="minorHAnsi" w:cstheme="minorHAnsi"/>
        </w:rPr>
        <w:fldChar w:fldCharType="end"/>
      </w:r>
      <w:r w:rsidR="00ED1AFA" w:rsidRPr="002974BE">
        <w:rPr>
          <w:rFonts w:asciiTheme="minorHAnsi" w:hAnsiTheme="minorHAnsi" w:cstheme="minorHAnsi"/>
        </w:rPr>
        <w:t xml:space="preserve">. </w:t>
      </w:r>
      <w:r w:rsidR="00A71501" w:rsidRPr="002974BE">
        <w:rPr>
          <w:rFonts w:asciiTheme="minorHAnsi" w:hAnsiTheme="minorHAnsi" w:cstheme="minorHAnsi"/>
        </w:rPr>
        <w:t>Además, respecto a la mortalidad s</w:t>
      </w:r>
      <w:r w:rsidR="00A41A66" w:rsidRPr="002974BE">
        <w:rPr>
          <w:rFonts w:asciiTheme="minorHAnsi" w:hAnsiTheme="minorHAnsi" w:cstheme="minorHAnsi"/>
        </w:rPr>
        <w:t>e</w:t>
      </w:r>
      <w:r w:rsidR="00ED1AFA" w:rsidRPr="002974BE">
        <w:rPr>
          <w:rFonts w:asciiTheme="minorHAnsi" w:hAnsiTheme="minorHAnsi" w:cstheme="minorHAnsi"/>
        </w:rPr>
        <w:t xml:space="preserve"> estim</w:t>
      </w:r>
      <w:r w:rsidR="00A41A66" w:rsidRPr="002974BE">
        <w:rPr>
          <w:rFonts w:asciiTheme="minorHAnsi" w:hAnsiTheme="minorHAnsi" w:cstheme="minorHAnsi"/>
        </w:rPr>
        <w:t>ó</w:t>
      </w:r>
      <w:r w:rsidR="00A71501" w:rsidRPr="002974BE">
        <w:rPr>
          <w:rFonts w:asciiTheme="minorHAnsi" w:hAnsiTheme="minorHAnsi" w:cstheme="minorHAnsi"/>
        </w:rPr>
        <w:t xml:space="preserve"> </w:t>
      </w:r>
      <w:r w:rsidR="00A41A66" w:rsidRPr="002974BE">
        <w:rPr>
          <w:rFonts w:asciiTheme="minorHAnsi" w:hAnsiTheme="minorHAnsi" w:cstheme="minorHAnsi"/>
        </w:rPr>
        <w:t xml:space="preserve">fue de un 17.5% en personas vacunados versus 78% en no vacunados </w:t>
      </w:r>
      <w:r w:rsidR="00A71501" w:rsidRPr="002974BE">
        <w:rPr>
          <w:rFonts w:asciiTheme="minorHAnsi" w:hAnsiTheme="minorHAnsi" w:cstheme="minorHAnsi"/>
        </w:rPr>
        <w:fldChar w:fldCharType="begin"/>
      </w:r>
      <w:r w:rsidR="00C43A2A" w:rsidRPr="002974BE">
        <w:rPr>
          <w:rFonts w:asciiTheme="minorHAnsi" w:hAnsiTheme="minorHAnsi" w:cstheme="minorHAnsi"/>
        </w:rPr>
        <w:instrText xml:space="preserve"> ADDIN ZOTERO_ITEM CSL_CITATION {"citationID":"oSDko6lf","properties":{"formattedCitation":"(14)","plainCitation":"(14)","noteIndex":0},"citationItems":[{"id":1121,"uris":["http://zotero.org/users/6047638/items/QQTJTJJW"],"itemData":{"id":1121,"type":"article-journal","abstract":"Introducción. El plan de vacunación anti-COVID-19 en Perú consistente en tres tipos de vacunas se inició en marzo 2021. Después de 8 meses cubría 55,18% de la población blanco con dos dosis de vacuna y contaba con 3,5 millones de personas que no habían recibido segunda dosis. Existe limitada información de la mortalidad con el plan de vacunación, siendo necesario estimar la efectividad del mismo.Objetivo. Estimar la efectividad del plan de la vacunación contra el COVID-19 para prevenir la mortalidad en mayores de 18 años.Métodos. Estudio de cohorte pareado de casos y controles de población hospitalizada por COVID-19 durante la pandemia en el Perú, con un seguimiento desde el 9 de febrero del 2020 hasta el 27 de octubre del 2021. Se incluyeron 107 410 sujetos de la Plataforma Nacional de Datos Abiertos del Estado Peruano de la cual se seleccionaron 2254 muertes en hospitalizados vacunados y 2254 muertes en hospitalizados no vacunados. Para estimar la efectividad se construyeron modelos de sobrevivencia de Kaplan Mayer y utilizó la prueba de Cox (HR).Resultados. La efectividad del plan de vacunación se estimó en 80,4% (IC 95% 78,2% - 82,5%). La tasa de letalidad por COVID-19 en vacunados fue 17,5% vs 78,8% en no vacunados. La mediana del tiempo de sobrevivencia en la cohorte de hospitalizados con vacuna fue 42 días (IC 95%: 31-64), vs 7 días (IC 95%: 6-7) en no vacunados (p &lt; 0,001).Conclusiones. Las vacunas utilizadas en el programa del Perú son altamente efectivas para prevenir la muerte en personas hospitalizadas por COVID-19 y mejorarían los resultados con mayor cobertura de uso de dos dosis de vacuna.Palabras clave: SARS-CoV-2; COVID-19; Vacunas contra la COVID-19; Mortalidad Hospitalaria","container-title":"Anales de la Facultad de Medicina","DOI":"10.15381/anales.v83i2.21531","ISSN":"1025-5583","issue":"2","note":"publisher: UNMSM. Facultad de Medicina","page":"87-94","source":"SciELO","title":"Efectividad de vacunas COVID-19 y riesgo de mortalidad en Perú: un estudio poblacional de cohortes pareadas","title-short":"Efectividad de vacunas COVID-19 y riesgo de mortalidad en Perú","URL":"http://www.scielo.org.pe/scielo.php?script=sci_abstract&amp;pid=S1025-55832022000200087&amp;lng=es&amp;nrm=iso&amp;tlng=es","volume":"83","author":[{"family":"López","given":"Lucy"},{"family":"Portugal","given":"Walter"},{"family":"Huamán","given":"Karen"},{"family":"Obregón","given":"Cristian"},{"family":"López","given":"Lucy"},{"family":"Portugal","given":"Walter"},{"family":"Huamán","given":"Karen"},{"family":"Obregón","given":"Cristian"}],"accessed":{"date-parts":[["2023",4,1]]},"issued":{"date-parts":[["2022",4]]}}}],"schema":"https://github.com/citation-style-language/schema/raw/master/csl-citation.json"} </w:instrText>
      </w:r>
      <w:r w:rsidR="00A71501" w:rsidRPr="002974BE">
        <w:rPr>
          <w:rFonts w:asciiTheme="minorHAnsi" w:hAnsiTheme="minorHAnsi" w:cstheme="minorHAnsi"/>
        </w:rPr>
        <w:fldChar w:fldCharType="separate"/>
      </w:r>
      <w:r w:rsidR="00C43A2A" w:rsidRPr="002974BE">
        <w:rPr>
          <w:rFonts w:asciiTheme="minorHAnsi" w:hAnsiTheme="minorHAnsi" w:cstheme="minorHAnsi"/>
        </w:rPr>
        <w:t>(14)</w:t>
      </w:r>
      <w:r w:rsidR="00A71501" w:rsidRPr="002974BE">
        <w:rPr>
          <w:rFonts w:asciiTheme="minorHAnsi" w:hAnsiTheme="minorHAnsi" w:cstheme="minorHAnsi"/>
        </w:rPr>
        <w:fldChar w:fldCharType="end"/>
      </w:r>
      <w:r w:rsidR="00A71501" w:rsidRPr="002974BE">
        <w:rPr>
          <w:rFonts w:asciiTheme="minorHAnsi" w:hAnsiTheme="minorHAnsi" w:cstheme="minorHAnsi"/>
        </w:rPr>
        <w:t>.</w:t>
      </w:r>
    </w:p>
    <w:p w14:paraId="5224E934" w14:textId="0D64467A" w:rsidR="00A71501" w:rsidRPr="002974BE" w:rsidRDefault="00A71501" w:rsidP="001D7F2E">
      <w:pPr>
        <w:pStyle w:val="NormalWeb"/>
        <w:shd w:val="clear" w:color="auto" w:fill="FFFFFF"/>
        <w:spacing w:after="240"/>
        <w:jc w:val="both"/>
        <w:rPr>
          <w:rFonts w:asciiTheme="minorHAnsi" w:hAnsiTheme="minorHAnsi" w:cstheme="minorHAnsi"/>
        </w:rPr>
      </w:pPr>
      <w:r w:rsidRPr="002974BE">
        <w:rPr>
          <w:rFonts w:asciiTheme="minorHAnsi" w:hAnsiTheme="minorHAnsi" w:cstheme="minorHAnsi"/>
        </w:rPr>
        <w:t xml:space="preserve">Diferentes estudios mencionan que </w:t>
      </w:r>
      <w:r w:rsidR="00C96B9F" w:rsidRPr="002974BE">
        <w:rPr>
          <w:rFonts w:asciiTheme="minorHAnsi" w:hAnsiTheme="minorHAnsi" w:cstheme="minorHAnsi"/>
        </w:rPr>
        <w:t>el fragmento RBD de la</w:t>
      </w:r>
      <w:r w:rsidRPr="002974BE">
        <w:rPr>
          <w:rFonts w:asciiTheme="minorHAnsi" w:hAnsiTheme="minorHAnsi" w:cstheme="minorHAnsi"/>
        </w:rPr>
        <w:t xml:space="preserve"> proteína </w:t>
      </w:r>
      <w:proofErr w:type="spellStart"/>
      <w:r w:rsidRPr="002974BE">
        <w:rPr>
          <w:rFonts w:asciiTheme="minorHAnsi" w:hAnsiTheme="minorHAnsi" w:cstheme="minorHAnsi"/>
        </w:rPr>
        <w:t>Spike</w:t>
      </w:r>
      <w:proofErr w:type="spellEnd"/>
      <w:r w:rsidRPr="002974BE">
        <w:rPr>
          <w:rFonts w:asciiTheme="minorHAnsi" w:hAnsiTheme="minorHAnsi" w:cstheme="minorHAnsi"/>
        </w:rPr>
        <w:t xml:space="preserve"> (S) provoca la mayoría de los  potentes anticuerpos neutralizantes, que están crucialmente involucrados en la protección contra la COVID-19 y considerado como un marcador fundamental para medir la respuesta humoral </w:t>
      </w:r>
      <w:r w:rsidRPr="002974BE">
        <w:rPr>
          <w:rFonts w:asciiTheme="minorHAnsi" w:hAnsiTheme="minorHAnsi" w:cstheme="minorHAnsi"/>
        </w:rPr>
        <w:fldChar w:fldCharType="begin"/>
      </w:r>
      <w:r w:rsidR="00C43A2A" w:rsidRPr="002974BE">
        <w:rPr>
          <w:rFonts w:asciiTheme="minorHAnsi" w:hAnsiTheme="minorHAnsi" w:cstheme="minorHAnsi"/>
        </w:rPr>
        <w:instrText xml:space="preserve"> ADDIN ZOTERO_ITEM CSL_CITATION {"citationID":"VCqxfDHN","properties":{"formattedCitation":"(15)","plainCitation":"(15)","noteIndex":0},"citationItems":[{"id":1110,"uris":["http://zotero.org/users/6047638/items/TQ4P3D3H"],"itemData":{"id":1110,"type":"article-journal","abstract":"Objective. To determine the titer of antibodies against the receptor binding domain (RBD) of the spike protein (S) in health personnel between the 4th and 12th week after receiving the BBIBP-CorV vaccine (Sinopharm). Materials and methods. We included a total of 168 healthcare workers from two hospitals in the region, who complied with the complete Sinopharm vaccine schedule; serum antibodies were measured using the Elecsys® Anti-SARS-CoV-2 test. Results. All participants developed antibodies to the RBD domain. The lowest antibody titer level was 1.78 U/mL. Levels equal to or above 250 were found in 70 (41.7%) participants. The geometric mean was 82.6 (95% CI: 67.8-100.6). Women had higher antibody levels. Participants whose antibodies were measured between 4- and 7-weeks post-vaccination showed significantly higher antibody levels than patients whose antibody levels were measured between 10- and 12-weeks post-vaccination. Among patients with a history of COVID-19, antibody levels were found to be at or above 250 U/mL in 88% of cases, compared to 6% among those without a history of COVID-19, (p&amp;lt;0.001). Conclusion. All participants immunized with BBIBPCorV vaccine were positive for antibodies against the SARS-CoV-2 spike protein RBD. The correlation between the titer level and protection against COVID-19, as well as the length of the protection provided by the vaccine, needs to be evaluated. © 2021, Instituto Nacional de Salud. All rights reserved.","archive":"Scopus","container-title":"Revista Peruana de Medicina Experimental y Salud Publica","DOI":"10.17843/rpmesp.2021.384.9244","ISSN":"1726-4634","issue":"4","language":"Spanish","page":"493-500","source":"Scopus","title":"EVALUATION OF THE HUMORAL RESPONSE INDUCED BY BBIBP-CorV VACCINE BY DETERMINING NEUTRALIZING ANTIBODIES IN PERUVIAN HEALTHCARE PERSONNEL","title-short":"EVALUACIÓN DE LA RESPUESTA HUMORAL INDUCIDA POR LA VACUNA BBIBP-CorV MEDIANTE LA DETERMINACIÓN DE ANTICUERPOS NEUTRALIZANTES EN PERSONAL SANITARIO PERUANO","volume":"38","author":[{"family":"Soto","given":"A."},{"family":"De Charca-Rodríguez","given":"F.M."},{"family":"Pareja-Medina","given":"M."},{"family":"Fernandez-Navarro","given":"M."},{"family":"Altamirano-Cáceres","given":"K."},{"family":"Chávez","given":"E.S."},{"family":"Raraz-Vidal","given":"J."},{"family":"Cabezudo-Pillpe","given":"N."},{"family":"Velarde-Rodríguez","given":"M."},{"family":"Alcántara-Díaz","given":"A."}],"issued":{"date-parts":[["2021"]]}}}],"schema":"https://github.com/citation-style-language/schema/raw/master/csl-citation.json"} </w:instrText>
      </w:r>
      <w:r w:rsidRPr="002974BE">
        <w:rPr>
          <w:rFonts w:asciiTheme="minorHAnsi" w:hAnsiTheme="minorHAnsi" w:cstheme="minorHAnsi"/>
        </w:rPr>
        <w:fldChar w:fldCharType="separate"/>
      </w:r>
      <w:r w:rsidR="00C43A2A" w:rsidRPr="002974BE">
        <w:rPr>
          <w:rFonts w:asciiTheme="minorHAnsi" w:hAnsiTheme="minorHAnsi" w:cstheme="minorHAnsi"/>
        </w:rPr>
        <w:t>(15)</w:t>
      </w:r>
      <w:r w:rsidRPr="002974BE">
        <w:rPr>
          <w:rFonts w:asciiTheme="minorHAnsi" w:hAnsiTheme="minorHAnsi" w:cstheme="minorHAnsi"/>
        </w:rPr>
        <w:fldChar w:fldCharType="end"/>
      </w:r>
      <w:r w:rsidRPr="002974BE">
        <w:rPr>
          <w:rFonts w:asciiTheme="minorHAnsi" w:hAnsiTheme="minorHAnsi" w:cstheme="minorHAnsi"/>
        </w:rPr>
        <w:t xml:space="preserve">. Para la medición de los anticuerpos neutralizantes </w:t>
      </w:r>
      <w:r w:rsidR="000E2E1A" w:rsidRPr="002974BE">
        <w:rPr>
          <w:rFonts w:asciiTheme="minorHAnsi" w:hAnsiTheme="minorHAnsi" w:cstheme="minorHAnsi"/>
        </w:rPr>
        <w:t>se considera como</w:t>
      </w:r>
      <w:r w:rsidRPr="002974BE">
        <w:rPr>
          <w:rFonts w:asciiTheme="minorHAnsi" w:hAnsiTheme="minorHAnsi" w:cstheme="minorHAnsi"/>
        </w:rPr>
        <w:t xml:space="preserve"> </w:t>
      </w:r>
      <w:proofErr w:type="spellStart"/>
      <w:r w:rsidRPr="002974BE">
        <w:rPr>
          <w:rFonts w:asciiTheme="minorHAnsi" w:hAnsiTheme="minorHAnsi" w:cstheme="minorHAnsi"/>
        </w:rPr>
        <w:t>gold</w:t>
      </w:r>
      <w:proofErr w:type="spellEnd"/>
      <w:r w:rsidRPr="002974BE">
        <w:rPr>
          <w:rFonts w:asciiTheme="minorHAnsi" w:hAnsiTheme="minorHAnsi" w:cstheme="minorHAnsi"/>
        </w:rPr>
        <w:t xml:space="preserve"> standard el “Método de reducción en placa”. Sin embargo; esta metodología es costosa y poco </w:t>
      </w:r>
      <w:proofErr w:type="spellStart"/>
      <w:r w:rsidRPr="002974BE">
        <w:rPr>
          <w:rFonts w:asciiTheme="minorHAnsi" w:hAnsiTheme="minorHAnsi" w:cstheme="minorHAnsi"/>
        </w:rPr>
        <w:t>practica</w:t>
      </w:r>
      <w:proofErr w:type="spellEnd"/>
      <w:r w:rsidRPr="002974BE">
        <w:rPr>
          <w:rFonts w:asciiTheme="minorHAnsi" w:hAnsiTheme="minorHAnsi" w:cstheme="minorHAnsi"/>
        </w:rPr>
        <w:t xml:space="preserve">, </w:t>
      </w:r>
      <w:r w:rsidR="000E2E1A" w:rsidRPr="002974BE">
        <w:rPr>
          <w:rFonts w:asciiTheme="minorHAnsi" w:hAnsiTheme="minorHAnsi" w:cstheme="minorHAnsi"/>
        </w:rPr>
        <w:t>siendo</w:t>
      </w:r>
      <w:r w:rsidRPr="002974BE">
        <w:rPr>
          <w:rFonts w:asciiTheme="minorHAnsi" w:hAnsiTheme="minorHAnsi" w:cstheme="minorHAnsi"/>
        </w:rPr>
        <w:t xml:space="preserve"> necesario condiciones ideales de bioseguridad e infraestructura ene le laboratorio </w:t>
      </w:r>
      <w:r w:rsidRPr="002974BE">
        <w:rPr>
          <w:rFonts w:asciiTheme="minorHAnsi" w:hAnsiTheme="minorHAnsi" w:cstheme="minorHAnsi"/>
        </w:rPr>
        <w:fldChar w:fldCharType="begin"/>
      </w:r>
      <w:r w:rsidR="00C43A2A" w:rsidRPr="002974BE">
        <w:rPr>
          <w:rFonts w:asciiTheme="minorHAnsi" w:hAnsiTheme="minorHAnsi" w:cstheme="minorHAnsi"/>
        </w:rPr>
        <w:instrText xml:space="preserve"> ADDIN ZOTERO_ITEM CSL_CITATION {"citationID":"4ED7MwEK","properties":{"formattedCitation":"(15)","plainCitation":"(15)","noteIndex":0},"citationItems":[{"id":1110,"uris":["http://zotero.org/users/6047638/items/TQ4P3D3H"],"itemData":{"id":1110,"type":"article-journal","abstract":"Objective. To determine the titer of antibodies against the receptor binding domain (RBD) of the spike protein (S) in health personnel between the 4th and 12th week after receiving the BBIBP-CorV vaccine (Sinopharm). Materials and methods. We included a total of 168 healthcare workers from two hospitals in the region, who complied with the complete Sinopharm vaccine schedule; serum antibodies were measured using the Elecsys® Anti-SARS-CoV-2 test. Results. All participants developed antibodies to the RBD domain. The lowest antibody titer level was 1.78 U/mL. Levels equal to or above 250 were found in 70 (41.7%) participants. The geometric mean was 82.6 (95% CI: 67.8-100.6). Women had higher antibody levels. Participants whose antibodies were measured between 4- and 7-weeks post-vaccination showed significantly higher antibody levels than patients whose antibody levels were measured between 10- and 12-weeks post-vaccination. Among patients with a history of COVID-19, antibody levels were found to be at or above 250 U/mL in 88% of cases, compared to 6% among those without a history of COVID-19, (p&amp;lt;0.001). Conclusion. All participants immunized with BBIBPCorV vaccine were positive for antibodies against the SARS-CoV-2 spike protein RBD. The correlation between the titer level and protection against COVID-19, as well as the length of the protection provided by the vaccine, needs to be evaluated. © 2021, Instituto Nacional de Salud. All rights reserved.","archive":"Scopus","container-title":"Revista Peruana de Medicina Experimental y Salud Publica","DOI":"10.17843/rpmesp.2021.384.9244","ISSN":"1726-4634","issue":"4","language":"Spanish","page":"493-500","source":"Scopus","title":"EVALUATION OF THE HUMORAL RESPONSE INDUCED BY BBIBP-CorV VACCINE BY DETERMINING NEUTRALIZING ANTIBODIES IN PERUVIAN HEALTHCARE PERSONNEL","title-short":"EVALUACIÓN DE LA RESPUESTA HUMORAL INDUCIDA POR LA VACUNA BBIBP-CorV MEDIANTE LA DETERMINACIÓN DE ANTICUERPOS NEUTRALIZANTES EN PERSONAL SANITARIO PERUANO","volume":"38","author":[{"family":"Soto","given":"A."},{"family":"De Charca-Rodríguez","given":"F.M."},{"family":"Pareja-Medina","given":"M."},{"family":"Fernandez-Navarro","given":"M."},{"family":"Altamirano-Cáceres","given":"K."},{"family":"Chávez","given":"E.S."},{"family":"Raraz-Vidal","given":"J."},{"family":"Cabezudo-Pillpe","given":"N."},{"family":"Velarde-Rodríguez","given":"M."},{"family":"Alcántara-Díaz","given":"A."}],"issued":{"date-parts":[["2021"]]}}}],"schema":"https://github.com/citation-style-language/schema/raw/master/csl-citation.json"} </w:instrText>
      </w:r>
      <w:r w:rsidRPr="002974BE">
        <w:rPr>
          <w:rFonts w:asciiTheme="minorHAnsi" w:hAnsiTheme="minorHAnsi" w:cstheme="minorHAnsi"/>
        </w:rPr>
        <w:fldChar w:fldCharType="separate"/>
      </w:r>
      <w:r w:rsidR="00C43A2A" w:rsidRPr="002974BE">
        <w:rPr>
          <w:rFonts w:asciiTheme="minorHAnsi" w:hAnsiTheme="minorHAnsi" w:cstheme="minorHAnsi"/>
        </w:rPr>
        <w:t>(15)</w:t>
      </w:r>
      <w:r w:rsidRPr="002974BE">
        <w:rPr>
          <w:rFonts w:asciiTheme="minorHAnsi" w:hAnsiTheme="minorHAnsi" w:cstheme="minorHAnsi"/>
        </w:rPr>
        <w:fldChar w:fldCharType="end"/>
      </w:r>
      <w:r w:rsidRPr="002974BE">
        <w:rPr>
          <w:rFonts w:asciiTheme="minorHAnsi" w:hAnsiTheme="minorHAnsi" w:cstheme="minorHAnsi"/>
        </w:rPr>
        <w:t xml:space="preserve">. Ahora bien, </w:t>
      </w:r>
      <w:r w:rsidR="00C43A2A" w:rsidRPr="002974BE">
        <w:rPr>
          <w:rFonts w:asciiTheme="minorHAnsi" w:hAnsiTheme="minorHAnsi" w:cstheme="minorHAnsi"/>
        </w:rPr>
        <w:t xml:space="preserve">una técnica menos </w:t>
      </w:r>
      <w:proofErr w:type="spellStart"/>
      <w:r w:rsidR="00C43A2A" w:rsidRPr="002974BE">
        <w:rPr>
          <w:rFonts w:asciiTheme="minorHAnsi" w:hAnsiTheme="minorHAnsi" w:cstheme="minorHAnsi"/>
        </w:rPr>
        <w:t>contosa</w:t>
      </w:r>
      <w:proofErr w:type="spellEnd"/>
      <w:r w:rsidR="00C43A2A" w:rsidRPr="002974BE">
        <w:rPr>
          <w:rFonts w:asciiTheme="minorHAnsi" w:hAnsiTheme="minorHAnsi" w:cstheme="minorHAnsi"/>
        </w:rPr>
        <w:t xml:space="preserve"> y con mayor practicidad en la </w:t>
      </w:r>
      <w:proofErr w:type="spellStart"/>
      <w:r w:rsidR="00C43A2A" w:rsidRPr="002974BE">
        <w:rPr>
          <w:rFonts w:asciiTheme="minorHAnsi" w:hAnsiTheme="minorHAnsi" w:cstheme="minorHAnsi"/>
        </w:rPr>
        <w:t>Citometria</w:t>
      </w:r>
      <w:proofErr w:type="spellEnd"/>
      <w:r w:rsidR="00C43A2A" w:rsidRPr="002974BE">
        <w:rPr>
          <w:rFonts w:asciiTheme="minorHAnsi" w:hAnsiTheme="minorHAnsi" w:cstheme="minorHAnsi"/>
        </w:rPr>
        <w:t xml:space="preserve"> de Flujo.</w:t>
      </w:r>
      <w:r w:rsidRPr="002974BE">
        <w:rPr>
          <w:rFonts w:asciiTheme="minorHAnsi" w:hAnsiTheme="minorHAnsi" w:cstheme="minorHAnsi"/>
        </w:rPr>
        <w:t xml:space="preserve"> </w:t>
      </w:r>
      <w:r w:rsidR="00C43A2A" w:rsidRPr="002974BE">
        <w:rPr>
          <w:rFonts w:asciiTheme="minorHAnsi" w:hAnsiTheme="minorHAnsi" w:cstheme="minorHAnsi"/>
        </w:rPr>
        <w:t>Esta</w:t>
      </w:r>
      <w:r w:rsidRPr="002974BE">
        <w:rPr>
          <w:rFonts w:asciiTheme="minorHAnsi" w:hAnsiTheme="minorHAnsi" w:cstheme="minorHAnsi"/>
        </w:rPr>
        <w:t xml:space="preserve"> metodología</w:t>
      </w:r>
      <w:r w:rsidR="00C43A2A" w:rsidRPr="002974BE">
        <w:rPr>
          <w:rFonts w:asciiTheme="minorHAnsi" w:hAnsiTheme="minorHAnsi" w:cstheme="minorHAnsi"/>
        </w:rPr>
        <w:t>,</w:t>
      </w:r>
      <w:r w:rsidRPr="002974BE">
        <w:rPr>
          <w:rFonts w:asciiTheme="minorHAnsi" w:hAnsiTheme="minorHAnsi" w:cstheme="minorHAnsi"/>
        </w:rPr>
        <w:t xml:space="preserve"> </w:t>
      </w:r>
      <w:r w:rsidR="00C96B9F" w:rsidRPr="002974BE">
        <w:rPr>
          <w:rFonts w:asciiTheme="minorHAnsi" w:hAnsiTheme="minorHAnsi" w:cstheme="minorHAnsi"/>
        </w:rPr>
        <w:t xml:space="preserve">con sensibilidad </w:t>
      </w:r>
      <w:r w:rsidR="00C43A2A" w:rsidRPr="002974BE">
        <w:rPr>
          <w:rFonts w:asciiTheme="minorHAnsi" w:hAnsiTheme="minorHAnsi" w:cstheme="minorHAnsi"/>
        </w:rPr>
        <w:t xml:space="preserve">y especificidad cercana al 100%, consiste en que solamente </w:t>
      </w:r>
      <w:r w:rsidR="00C96B9F" w:rsidRPr="002974BE">
        <w:rPr>
          <w:rFonts w:asciiTheme="minorHAnsi" w:hAnsiTheme="minorHAnsi" w:cstheme="minorHAnsi"/>
        </w:rPr>
        <w:t>en una reacción se podrá identificar diferentes isotipos de inmunoglobulinas haciendo</w:t>
      </w:r>
      <w:r w:rsidRPr="002974BE">
        <w:rPr>
          <w:rFonts w:asciiTheme="minorHAnsi" w:hAnsiTheme="minorHAnsi" w:cstheme="minorHAnsi"/>
        </w:rPr>
        <w:t xml:space="preserve"> uso de perlas </w:t>
      </w:r>
      <w:r w:rsidR="00C96B9F" w:rsidRPr="002974BE">
        <w:rPr>
          <w:rFonts w:asciiTheme="minorHAnsi" w:hAnsiTheme="minorHAnsi" w:cstheme="minorHAnsi"/>
        </w:rPr>
        <w:lastRenderedPageBreak/>
        <w:t xml:space="preserve">magnéticas fluorescentes que se encuentran recubiertas por antígenos del SARS-CoV-2: </w:t>
      </w:r>
      <w:proofErr w:type="spellStart"/>
      <w:r w:rsidR="00C96B9F" w:rsidRPr="002974BE">
        <w:rPr>
          <w:rFonts w:asciiTheme="minorHAnsi" w:hAnsiTheme="minorHAnsi" w:cstheme="minorHAnsi"/>
        </w:rPr>
        <w:t>Spike</w:t>
      </w:r>
      <w:proofErr w:type="spellEnd"/>
      <w:r w:rsidR="00C96B9F" w:rsidRPr="002974BE">
        <w:rPr>
          <w:rFonts w:asciiTheme="minorHAnsi" w:hAnsiTheme="minorHAnsi" w:cstheme="minorHAnsi"/>
        </w:rPr>
        <w:t xml:space="preserve">, RBD, NP y </w:t>
      </w:r>
      <w:r w:rsidR="00632814" w:rsidRPr="002974BE">
        <w:rPr>
          <w:rFonts w:asciiTheme="minorHAnsi" w:hAnsiTheme="minorHAnsi" w:cstheme="minorHAnsi"/>
        </w:rPr>
        <w:t xml:space="preserve">proteasa 3C (3CLPRO) o </w:t>
      </w:r>
      <w:proofErr w:type="spellStart"/>
      <w:r w:rsidR="00C96B9F" w:rsidRPr="002974BE">
        <w:rPr>
          <w:rFonts w:asciiTheme="minorHAnsi" w:hAnsiTheme="minorHAnsi" w:cstheme="minorHAnsi"/>
        </w:rPr>
        <w:t>MPro</w:t>
      </w:r>
      <w:proofErr w:type="spellEnd"/>
      <w:r w:rsidR="00632814" w:rsidRPr="002974BE">
        <w:rPr>
          <w:rFonts w:asciiTheme="minorHAnsi" w:hAnsiTheme="minorHAnsi" w:cstheme="minorHAnsi"/>
        </w:rPr>
        <w:t>;</w:t>
      </w:r>
      <w:r w:rsidR="00C96B9F" w:rsidRPr="002974BE">
        <w:rPr>
          <w:rFonts w:asciiTheme="minorHAnsi" w:hAnsiTheme="minorHAnsi" w:cstheme="minorHAnsi"/>
        </w:rPr>
        <w:t xml:space="preserve"> </w:t>
      </w:r>
      <w:r w:rsidR="00C43A2A" w:rsidRPr="002974BE">
        <w:rPr>
          <w:rFonts w:asciiTheme="minorHAnsi" w:hAnsiTheme="minorHAnsi" w:cstheme="minorHAnsi"/>
        </w:rPr>
        <w:t>los que se unirán de forma simultánea c</w:t>
      </w:r>
      <w:r w:rsidR="00C96B9F" w:rsidRPr="002974BE">
        <w:rPr>
          <w:rFonts w:asciiTheme="minorHAnsi" w:hAnsiTheme="minorHAnsi" w:cstheme="minorHAnsi"/>
        </w:rPr>
        <w:t>on los anticuerpos IgA, IgG, IgM</w:t>
      </w:r>
      <w:r w:rsidR="00C43A2A" w:rsidRPr="002974BE">
        <w:rPr>
          <w:rFonts w:asciiTheme="minorHAnsi" w:hAnsiTheme="minorHAnsi" w:cstheme="minorHAnsi"/>
        </w:rPr>
        <w:t xml:space="preserve"> </w:t>
      </w:r>
      <w:r w:rsidR="00C43A2A" w:rsidRPr="002974BE">
        <w:rPr>
          <w:rFonts w:asciiTheme="minorHAnsi" w:hAnsiTheme="minorHAnsi" w:cstheme="minorHAnsi"/>
        </w:rPr>
        <w:fldChar w:fldCharType="begin"/>
      </w:r>
      <w:r w:rsidR="00C43A2A" w:rsidRPr="002974BE">
        <w:rPr>
          <w:rFonts w:asciiTheme="minorHAnsi" w:hAnsiTheme="minorHAnsi" w:cstheme="minorHAnsi"/>
        </w:rPr>
        <w:instrText xml:space="preserve"> ADDIN ZOTERO_ITEM CSL_CITATION {"citationID":"PWU49Tiw","properties":{"formattedCitation":"(16)","plainCitation":"(16)","noteIndex":0},"citationItems":[{"id":1128,"uris":["http://zotero.org/users/6047638/items/GA89XJBL"],"itemData":{"id":1128,"type":"article-journal","abstract":"Here, we describe a new, simple, highly multiplexed serological test that generates a more complete picture of seroconversion than single antigen‐based assays. Flow cytometry is used to detect multiple Ig isotypes binding to four SARS‐CoV‐2 antigens: the Spike glycoprotein, its RBD fragment (the main target for neutralizing antibodies), the nucleocapsid protein, and the main cysteine‐like protease in a single reaction. Until now, most diagnostic serological tests measured antibodies to only one antigen and in some laboratory‐confirmed patients no SARS‐CoV‐2‐specific antibodies could be detected. Our data reveal that while most patients respond against all the viral antigens tested, others show a marked bias to make antibodies against either proteins exposed on the viral particle or those released after cellular infection. With this assay, it was possible to discriminate between patients and healthy controls with 100% confidence. Analysing the response of multiple Ig isotypes to the four antigens in combination may also help to establish a correlation with the severity degree of disease. A more detailed description of the immune responses of different patients to SARS‐CoV‐2 virus might provide insight into the wide array of clinical presentations of COVID‐19., Magnetic fluorescent beads coated with different SARS‐CoV‐2 antigens can be mixed to test simultaneously for antibodies present in patient plasma in highly multiplexed flow cytometry‐based assays. This sensitive method allows identification, in a single reaction, of several Ig‐isotypes and specificities, revealing differential responses between COVID‐19 patients.","container-title":"European Journal of Immunology","DOI":"10.1002/eji.202149319","ISSN":"0014-2980","issue":"11","journalAbbreviation":"Eur J Immunol","note":"PMID: 34358329\nPMCID: PMC8420214","page":"2633-2640","source":"PubMed Central","title":"Single‐reaction multi‐antigen serological test for comprehensive evaluation of SARS‐CoV‐2 patients by flow cytometry","URL":"https://www.ncbi.nlm.nih.gov/pmc/articles/PMC8420214/","volume":"51","author":[{"family":"Cáceres‐Martell","given":"Yaiza"},{"family":"Fernández‐Soto","given":"Daniel"},{"family":"Campos‐Silva","given":"Carmen"},{"family":"García‐Cuesta","given":"Eva M."},{"family":"Casasnovas","given":"Jose M"},{"family":"Navas‐Herrera","given":"David"},{"family":"Beneítez‐Martínez","given":"Alexandra"},{"family":"Martínez‐Fleta","given":"Pedro"},{"family":"Alfranca","given":"Arantzazu"},{"family":"Sánchez‐Madrid","given":"Francisco"},{"family":"Escudero‐López","given":"Gabriela"},{"family":"Vilches","given":"Carlos"},{"family":"Jara‐Acevedo","given":"Ricardo"},{"family":"Reyburn","given":"Hugh T."},{"family":"Rodríguez‐Frade","given":"José M."},{"family":"Valés‐Gómez","given":"Mar"}],"accessed":{"date-parts":[["2023",4,1]]},"issued":{"date-parts":[["2021",11]]}}}],"schema":"https://github.com/citation-style-language/schema/raw/master/csl-citation.json"} </w:instrText>
      </w:r>
      <w:r w:rsidR="00C43A2A" w:rsidRPr="002974BE">
        <w:rPr>
          <w:rFonts w:asciiTheme="minorHAnsi" w:hAnsiTheme="minorHAnsi" w:cstheme="minorHAnsi"/>
        </w:rPr>
        <w:fldChar w:fldCharType="separate"/>
      </w:r>
      <w:r w:rsidR="00C43A2A" w:rsidRPr="002974BE">
        <w:rPr>
          <w:rFonts w:asciiTheme="minorHAnsi" w:hAnsiTheme="minorHAnsi" w:cstheme="minorHAnsi"/>
        </w:rPr>
        <w:t>(16)</w:t>
      </w:r>
      <w:r w:rsidR="00C43A2A" w:rsidRPr="002974BE">
        <w:rPr>
          <w:rFonts w:asciiTheme="minorHAnsi" w:hAnsiTheme="minorHAnsi" w:cstheme="minorHAnsi"/>
        </w:rPr>
        <w:fldChar w:fldCharType="end"/>
      </w:r>
      <w:r w:rsidR="00C43A2A" w:rsidRPr="002974BE">
        <w:rPr>
          <w:rFonts w:asciiTheme="minorHAnsi" w:hAnsiTheme="minorHAnsi" w:cstheme="minorHAnsi"/>
        </w:rPr>
        <w:t>.</w:t>
      </w:r>
    </w:p>
    <w:p w14:paraId="48FB418D" w14:textId="3A463995" w:rsidR="00BB5F90" w:rsidRPr="002974BE" w:rsidRDefault="00A71501" w:rsidP="001D7F2E">
      <w:pPr>
        <w:pStyle w:val="NormalWeb"/>
        <w:shd w:val="clear" w:color="auto" w:fill="FFFFFF"/>
        <w:spacing w:after="240"/>
        <w:jc w:val="both"/>
        <w:rPr>
          <w:rFonts w:asciiTheme="minorHAnsi" w:hAnsiTheme="minorHAnsi" w:cstheme="minorHAnsi"/>
        </w:rPr>
      </w:pPr>
      <w:r w:rsidRPr="002974BE">
        <w:rPr>
          <w:rFonts w:asciiTheme="minorHAnsi" w:hAnsiTheme="minorHAnsi" w:cstheme="minorHAnsi"/>
        </w:rPr>
        <w:t xml:space="preserve">Este estudio tiene como objetivo describir </w:t>
      </w:r>
      <w:r w:rsidR="00C43A2A" w:rsidRPr="002974BE">
        <w:rPr>
          <w:rFonts w:asciiTheme="minorHAnsi" w:hAnsiTheme="minorHAnsi" w:cstheme="minorHAnsi"/>
        </w:rPr>
        <w:t xml:space="preserve">la </w:t>
      </w:r>
      <w:proofErr w:type="spellStart"/>
      <w:r w:rsidR="00C43A2A" w:rsidRPr="002974BE">
        <w:rPr>
          <w:rFonts w:asciiTheme="minorHAnsi" w:hAnsiTheme="minorHAnsi" w:cstheme="minorHAnsi"/>
        </w:rPr>
        <w:t>seroreactividad</w:t>
      </w:r>
      <w:proofErr w:type="spellEnd"/>
      <w:r w:rsidR="00C43A2A" w:rsidRPr="002974BE">
        <w:rPr>
          <w:rFonts w:asciiTheme="minorHAnsi" w:hAnsiTheme="minorHAnsi" w:cstheme="minorHAnsi"/>
        </w:rPr>
        <w:t xml:space="preserve"> en el personal de salud</w:t>
      </w:r>
      <w:r w:rsidR="00BB5F90" w:rsidRPr="002974BE">
        <w:rPr>
          <w:rFonts w:asciiTheme="minorHAnsi" w:hAnsiTheme="minorHAnsi" w:cstheme="minorHAnsi"/>
        </w:rPr>
        <w:t xml:space="preserve"> frente a la vacuna, mediante la detección de </w:t>
      </w:r>
      <w:proofErr w:type="spellStart"/>
      <w:r w:rsidR="00BB5F90" w:rsidRPr="002974BE">
        <w:rPr>
          <w:rFonts w:asciiTheme="minorHAnsi" w:hAnsiTheme="minorHAnsi" w:cstheme="minorHAnsi"/>
        </w:rPr>
        <w:t>antcuerpos</w:t>
      </w:r>
      <w:proofErr w:type="spellEnd"/>
      <w:r w:rsidR="00BB5F90" w:rsidRPr="002974BE">
        <w:rPr>
          <w:rFonts w:asciiTheme="minorHAnsi" w:hAnsiTheme="minorHAnsi" w:cstheme="minorHAnsi"/>
        </w:rPr>
        <w:t xml:space="preserve"> IgA, IgG, IgM </w:t>
      </w:r>
      <w:proofErr w:type="spellStart"/>
      <w:r w:rsidR="00BB5F90" w:rsidRPr="002974BE">
        <w:rPr>
          <w:rFonts w:asciiTheme="minorHAnsi" w:hAnsiTheme="minorHAnsi" w:cstheme="minorHAnsi"/>
        </w:rPr>
        <w:t>contro</w:t>
      </w:r>
      <w:proofErr w:type="spellEnd"/>
      <w:r w:rsidR="00BB5F90" w:rsidRPr="002974BE">
        <w:rPr>
          <w:rFonts w:asciiTheme="minorHAnsi" w:hAnsiTheme="minorHAnsi" w:cstheme="minorHAnsi"/>
        </w:rPr>
        <w:t xml:space="preserve"> los antígenos del SAR-CoV-2 por Citometría de Flujo.</w:t>
      </w:r>
    </w:p>
    <w:p w14:paraId="133F7D3F" w14:textId="50BC6BCF" w:rsidR="004F74F9" w:rsidRPr="002974BE" w:rsidRDefault="00A71501" w:rsidP="001D7F2E">
      <w:pPr>
        <w:pStyle w:val="NormalWeb"/>
        <w:shd w:val="clear" w:color="auto" w:fill="FFFFFF"/>
        <w:spacing w:after="240"/>
        <w:jc w:val="both"/>
        <w:rPr>
          <w:rFonts w:asciiTheme="minorHAnsi" w:hAnsiTheme="minorHAnsi" w:cstheme="minorHAnsi"/>
        </w:rPr>
      </w:pPr>
      <w:r w:rsidRPr="002974BE">
        <w:rPr>
          <w:rFonts w:asciiTheme="minorHAnsi" w:hAnsiTheme="minorHAnsi" w:cstheme="minorHAnsi"/>
        </w:rPr>
        <w:t>Con esta herramienta y con los resultados obtenidos podría proporcionar una visión completa de la inmunidad humoral de los trabajadores del INSNSB.</w:t>
      </w:r>
    </w:p>
    <w:p w14:paraId="05B49CE0" w14:textId="77777777" w:rsidR="007B15E0" w:rsidRPr="002974BE" w:rsidRDefault="007B15E0" w:rsidP="001D7F2E">
      <w:pPr>
        <w:pStyle w:val="Textoindependiente"/>
        <w:spacing w:before="0" w:after="0" w:line="276" w:lineRule="auto"/>
        <w:jc w:val="both"/>
        <w:rPr>
          <w:rFonts w:cstheme="minorHAnsi"/>
          <w:b/>
          <w:sz w:val="22"/>
          <w:szCs w:val="22"/>
        </w:rPr>
      </w:pPr>
      <w:r w:rsidRPr="002974BE">
        <w:rPr>
          <w:rFonts w:cstheme="minorHAnsi"/>
          <w:b/>
          <w:sz w:val="22"/>
          <w:szCs w:val="22"/>
        </w:rPr>
        <w:t>MATERIALES Y MÉTODOS</w:t>
      </w:r>
    </w:p>
    <w:p w14:paraId="7CF2FFAF" w14:textId="77777777" w:rsidR="004A15C3" w:rsidRPr="002974BE" w:rsidRDefault="004A15C3" w:rsidP="001D7F2E">
      <w:pPr>
        <w:pStyle w:val="Textoindependiente"/>
        <w:spacing w:before="0" w:after="0" w:line="276" w:lineRule="auto"/>
        <w:jc w:val="both"/>
        <w:rPr>
          <w:rFonts w:cstheme="minorHAnsi"/>
          <w:b/>
        </w:rPr>
      </w:pPr>
    </w:p>
    <w:p w14:paraId="2D88CBD2" w14:textId="77777777" w:rsidR="001F056C" w:rsidRPr="002974BE" w:rsidRDefault="001F056C" w:rsidP="001D7F2E">
      <w:pPr>
        <w:pStyle w:val="NormalWeb"/>
        <w:shd w:val="clear" w:color="auto" w:fill="FFFFFF"/>
        <w:spacing w:before="0" w:beforeAutospacing="0" w:after="0" w:afterAutospacing="0" w:line="276" w:lineRule="auto"/>
        <w:ind w:firstLine="708"/>
        <w:jc w:val="both"/>
        <w:rPr>
          <w:rFonts w:asciiTheme="minorHAnsi" w:hAnsiTheme="minorHAnsi" w:cstheme="minorHAnsi"/>
          <w:i/>
        </w:rPr>
      </w:pPr>
      <w:r w:rsidRPr="002974BE">
        <w:rPr>
          <w:rFonts w:asciiTheme="minorHAnsi" w:hAnsiTheme="minorHAnsi" w:cstheme="minorHAnsi"/>
          <w:i/>
        </w:rPr>
        <w:t>Población de estudio</w:t>
      </w:r>
    </w:p>
    <w:p w14:paraId="7400159F" w14:textId="77777777" w:rsidR="001F056C" w:rsidRPr="002974BE" w:rsidRDefault="001F056C" w:rsidP="001D7F2E">
      <w:pPr>
        <w:pStyle w:val="NormalWeb"/>
        <w:shd w:val="clear" w:color="auto" w:fill="FFFFFF"/>
        <w:spacing w:before="0" w:beforeAutospacing="0" w:after="0" w:afterAutospacing="0" w:line="276" w:lineRule="auto"/>
        <w:jc w:val="both"/>
        <w:rPr>
          <w:rFonts w:asciiTheme="minorHAnsi" w:hAnsiTheme="minorHAnsi" w:cstheme="minorHAnsi"/>
        </w:rPr>
      </w:pPr>
    </w:p>
    <w:p w14:paraId="424A68E7" w14:textId="77777777" w:rsidR="001F056C" w:rsidRPr="002974BE" w:rsidRDefault="001F056C" w:rsidP="001D7F2E">
      <w:pPr>
        <w:pStyle w:val="NormalWeb"/>
        <w:shd w:val="clear" w:color="auto" w:fill="FFFFFF"/>
        <w:spacing w:before="0" w:beforeAutospacing="0" w:after="0" w:afterAutospacing="0" w:line="276" w:lineRule="auto"/>
        <w:jc w:val="both"/>
        <w:rPr>
          <w:rFonts w:asciiTheme="minorHAnsi" w:hAnsiTheme="minorHAnsi" w:cstheme="minorHAnsi"/>
        </w:rPr>
      </w:pPr>
      <w:r w:rsidRPr="002974BE">
        <w:rPr>
          <w:rFonts w:asciiTheme="minorHAnsi" w:hAnsiTheme="minorHAnsi" w:cstheme="minorHAnsi"/>
        </w:rPr>
        <w:t xml:space="preserve">Personal de salud del Instituto Nacional de Salud del Niño de San Borja (INSNSB) en Lima- Perú vacunados contra la COVID-19, que cuenten o no con antecedentes de una previa infección de la enfermedad, enrolados en el periodo 2021. </w:t>
      </w:r>
    </w:p>
    <w:p w14:paraId="3BA72E60" w14:textId="77777777" w:rsidR="001F056C" w:rsidRPr="002974BE" w:rsidRDefault="001F056C" w:rsidP="001D7F2E">
      <w:pPr>
        <w:pStyle w:val="NormalWeb"/>
        <w:shd w:val="clear" w:color="auto" w:fill="FFFFFF"/>
        <w:spacing w:line="276" w:lineRule="auto"/>
        <w:ind w:firstLine="708"/>
        <w:jc w:val="both"/>
        <w:rPr>
          <w:rFonts w:asciiTheme="minorHAnsi" w:hAnsiTheme="minorHAnsi" w:cstheme="minorHAnsi"/>
          <w:i/>
          <w:iCs/>
        </w:rPr>
      </w:pPr>
      <w:r w:rsidRPr="002974BE">
        <w:rPr>
          <w:rFonts w:asciiTheme="minorHAnsi" w:hAnsiTheme="minorHAnsi" w:cstheme="minorHAnsi"/>
          <w:i/>
          <w:iCs/>
        </w:rPr>
        <w:t>Muestra</w:t>
      </w:r>
    </w:p>
    <w:p w14:paraId="17AAE528" w14:textId="77777777" w:rsidR="001F056C" w:rsidRPr="002974BE" w:rsidRDefault="001F056C" w:rsidP="001D7F2E">
      <w:pPr>
        <w:pStyle w:val="NormalWeb"/>
        <w:shd w:val="clear" w:color="auto" w:fill="FFFFFF"/>
        <w:spacing w:line="276" w:lineRule="auto"/>
        <w:jc w:val="both"/>
        <w:rPr>
          <w:rFonts w:asciiTheme="minorHAnsi" w:hAnsiTheme="minorHAnsi" w:cstheme="minorHAnsi"/>
        </w:rPr>
      </w:pPr>
      <w:r w:rsidRPr="002974BE">
        <w:rPr>
          <w:rFonts w:asciiTheme="minorHAnsi" w:hAnsiTheme="minorHAnsi" w:cstheme="minorHAnsi"/>
        </w:rPr>
        <w:t xml:space="preserve">Se </w:t>
      </w:r>
      <w:proofErr w:type="spellStart"/>
      <w:r w:rsidRPr="002974BE">
        <w:rPr>
          <w:rFonts w:asciiTheme="minorHAnsi" w:hAnsiTheme="minorHAnsi" w:cstheme="minorHAnsi"/>
        </w:rPr>
        <w:t>incluiyó</w:t>
      </w:r>
      <w:proofErr w:type="spellEnd"/>
      <w:r w:rsidRPr="002974BE">
        <w:rPr>
          <w:rFonts w:asciiTheme="minorHAnsi" w:hAnsiTheme="minorHAnsi" w:cstheme="minorHAnsi"/>
        </w:rPr>
        <w:t xml:space="preserve"> a 163 trabajadores que hayan recibido alguna de las dosis de la vacuna contra la partícula viral SARS-CoV-2 (21 días posterior a la vacuna) durante el año 2021. Para el cálculo del tamaño de muestra, se utilizó la fórmula para estimación proporcional con población finita basados en un valor de confianza del 95%. Para la selección de las unidades de análisis, se utilizará un muestreo aleatorio estratificado con asignación proporcional. Se excluyó a los trabajadores con información clínica y laboratorial incompleta.</w:t>
      </w:r>
    </w:p>
    <w:p w14:paraId="1225DF90" w14:textId="77777777" w:rsidR="001F056C" w:rsidRPr="002974BE" w:rsidRDefault="001F056C" w:rsidP="001D7F2E">
      <w:pPr>
        <w:pStyle w:val="NormalWeb"/>
        <w:shd w:val="clear" w:color="auto" w:fill="FFFFFF"/>
        <w:spacing w:before="0" w:beforeAutospacing="0" w:after="0" w:afterAutospacing="0" w:line="276" w:lineRule="auto"/>
        <w:jc w:val="both"/>
        <w:rPr>
          <w:rFonts w:asciiTheme="minorHAnsi" w:hAnsiTheme="minorHAnsi" w:cstheme="minorHAnsi"/>
          <w:b/>
          <w:bCs/>
          <w:iCs/>
        </w:rPr>
      </w:pPr>
      <w:r w:rsidRPr="002974BE">
        <w:rPr>
          <w:rFonts w:asciiTheme="minorHAnsi" w:hAnsiTheme="minorHAnsi" w:cstheme="minorHAnsi"/>
          <w:b/>
          <w:bCs/>
          <w:iCs/>
        </w:rPr>
        <w:t>PROCEDIMIENTO</w:t>
      </w:r>
    </w:p>
    <w:p w14:paraId="51FE5B59" w14:textId="77777777" w:rsidR="001F056C" w:rsidRPr="002974BE" w:rsidRDefault="001F056C" w:rsidP="001D7F2E">
      <w:pPr>
        <w:pStyle w:val="NormalWeb"/>
        <w:shd w:val="clear" w:color="auto" w:fill="FFFFFF"/>
        <w:spacing w:before="0" w:beforeAutospacing="0" w:after="0" w:afterAutospacing="0" w:line="276" w:lineRule="auto"/>
        <w:jc w:val="both"/>
        <w:rPr>
          <w:rFonts w:asciiTheme="minorHAnsi" w:hAnsiTheme="minorHAnsi" w:cstheme="minorHAnsi"/>
          <w:i/>
        </w:rPr>
      </w:pPr>
    </w:p>
    <w:p w14:paraId="26033C7A" w14:textId="77777777" w:rsidR="001F056C" w:rsidRPr="002974BE" w:rsidRDefault="001F056C" w:rsidP="001D7F2E">
      <w:pPr>
        <w:pStyle w:val="NormalWeb"/>
        <w:shd w:val="clear" w:color="auto" w:fill="FFFFFF"/>
        <w:spacing w:before="0" w:beforeAutospacing="0" w:after="0" w:afterAutospacing="0" w:line="276" w:lineRule="auto"/>
        <w:jc w:val="both"/>
        <w:rPr>
          <w:rFonts w:asciiTheme="minorHAnsi" w:hAnsiTheme="minorHAnsi" w:cstheme="minorHAnsi"/>
        </w:rPr>
      </w:pPr>
      <w:r w:rsidRPr="002974BE">
        <w:rPr>
          <w:rFonts w:asciiTheme="minorHAnsi" w:hAnsiTheme="minorHAnsi" w:cstheme="minorHAnsi"/>
          <w:iCs/>
        </w:rPr>
        <w:t xml:space="preserve">Al conseguir la aprobación del Comité de Ética del Instituto Nacional de Salud del Niño de San Borja (INSNSB), se procede a enrolar a los trabajadores de salud de los diferentes servicios del Instituto, </w:t>
      </w:r>
      <w:r w:rsidRPr="002974BE">
        <w:rPr>
          <w:rFonts w:asciiTheme="minorHAnsi" w:hAnsiTheme="minorHAnsi" w:cstheme="minorHAnsi"/>
        </w:rPr>
        <w:t>que hayan recibido alguna de las dosis de la vacuna. Se obtiene el consentimiento informado.</w:t>
      </w:r>
    </w:p>
    <w:p w14:paraId="6533D14F" w14:textId="77777777" w:rsidR="001F056C" w:rsidRPr="002974BE" w:rsidRDefault="001F056C" w:rsidP="001D7F2E">
      <w:pPr>
        <w:pStyle w:val="NormalWeb"/>
        <w:shd w:val="clear" w:color="auto" w:fill="FFFFFF"/>
        <w:spacing w:before="0" w:beforeAutospacing="0" w:after="0" w:afterAutospacing="0" w:line="276" w:lineRule="auto"/>
        <w:jc w:val="both"/>
        <w:rPr>
          <w:rFonts w:asciiTheme="minorHAnsi" w:hAnsiTheme="minorHAnsi" w:cstheme="minorHAnsi"/>
        </w:rPr>
      </w:pPr>
    </w:p>
    <w:p w14:paraId="0FF1BE5C" w14:textId="77777777" w:rsidR="001F056C" w:rsidRPr="002974BE" w:rsidRDefault="001F056C" w:rsidP="001D7F2E">
      <w:pPr>
        <w:pStyle w:val="NormalWeb"/>
        <w:shd w:val="clear" w:color="auto" w:fill="FFFFFF"/>
        <w:spacing w:before="0" w:beforeAutospacing="0" w:after="0" w:afterAutospacing="0" w:line="276" w:lineRule="auto"/>
        <w:ind w:firstLine="708"/>
        <w:jc w:val="both"/>
        <w:rPr>
          <w:rFonts w:asciiTheme="minorHAnsi" w:hAnsiTheme="minorHAnsi" w:cstheme="minorHAnsi"/>
          <w:i/>
          <w:iCs/>
        </w:rPr>
      </w:pPr>
      <w:r w:rsidRPr="002974BE">
        <w:rPr>
          <w:rFonts w:asciiTheme="minorHAnsi" w:hAnsiTheme="minorHAnsi" w:cstheme="minorHAnsi"/>
          <w:i/>
          <w:iCs/>
        </w:rPr>
        <w:t>Obtención de la muestra</w:t>
      </w:r>
    </w:p>
    <w:p w14:paraId="48209029" w14:textId="77777777" w:rsidR="001F056C" w:rsidRPr="002974BE" w:rsidRDefault="001F056C" w:rsidP="001D7F2E">
      <w:pPr>
        <w:pStyle w:val="NormalWeb"/>
        <w:shd w:val="clear" w:color="auto" w:fill="FFFFFF"/>
        <w:spacing w:before="0" w:beforeAutospacing="0" w:after="0" w:afterAutospacing="0" w:line="276" w:lineRule="auto"/>
        <w:jc w:val="both"/>
        <w:rPr>
          <w:rFonts w:asciiTheme="minorHAnsi" w:hAnsiTheme="minorHAnsi" w:cstheme="minorHAnsi"/>
        </w:rPr>
      </w:pPr>
    </w:p>
    <w:p w14:paraId="24474C56" w14:textId="77777777" w:rsidR="001F056C" w:rsidRPr="002974BE" w:rsidRDefault="001F056C" w:rsidP="001D7F2E">
      <w:pPr>
        <w:pStyle w:val="NormalWeb"/>
        <w:shd w:val="clear" w:color="auto" w:fill="FFFFFF"/>
        <w:spacing w:before="0" w:beforeAutospacing="0" w:after="0" w:afterAutospacing="0" w:line="276" w:lineRule="auto"/>
        <w:jc w:val="both"/>
        <w:rPr>
          <w:rFonts w:asciiTheme="minorHAnsi" w:hAnsiTheme="minorHAnsi" w:cstheme="minorHAnsi"/>
          <w:iCs/>
        </w:rPr>
      </w:pPr>
      <w:r w:rsidRPr="002974BE">
        <w:rPr>
          <w:rFonts w:asciiTheme="minorHAnsi" w:hAnsiTheme="minorHAnsi" w:cstheme="minorHAnsi"/>
        </w:rPr>
        <w:t xml:space="preserve">La sangre se obtuvo por venopunción en tubos de muestra de 3mL con </w:t>
      </w:r>
      <w:proofErr w:type="spellStart"/>
      <w:r w:rsidRPr="002974BE">
        <w:rPr>
          <w:rFonts w:asciiTheme="minorHAnsi" w:hAnsiTheme="minorHAnsi" w:cstheme="minorHAnsi"/>
        </w:rPr>
        <w:t>anticogulante</w:t>
      </w:r>
      <w:proofErr w:type="spellEnd"/>
      <w:r w:rsidRPr="002974BE">
        <w:rPr>
          <w:rFonts w:asciiTheme="minorHAnsi" w:hAnsiTheme="minorHAnsi" w:cstheme="minorHAnsi"/>
        </w:rPr>
        <w:t xml:space="preserve"> EDTA. Las muestras fueron centrifugadas para la obtención de suero, estas fueron etiquetadas e </w:t>
      </w:r>
      <w:r w:rsidRPr="002974BE">
        <w:rPr>
          <w:rFonts w:asciiTheme="minorHAnsi" w:hAnsiTheme="minorHAnsi" w:cstheme="minorHAnsi"/>
        </w:rPr>
        <w:lastRenderedPageBreak/>
        <w:t>inactivadas por calor a 56°C/30minutos y finalmente fueron almacenadas a -20°C hasta su análisis.</w:t>
      </w:r>
    </w:p>
    <w:p w14:paraId="5E48581B" w14:textId="77777777" w:rsidR="001F056C" w:rsidRPr="002974BE" w:rsidRDefault="001F056C" w:rsidP="001D7F2E">
      <w:pPr>
        <w:pStyle w:val="NormalWeb"/>
        <w:shd w:val="clear" w:color="auto" w:fill="FFFFFF"/>
        <w:spacing w:before="0" w:beforeAutospacing="0" w:after="0" w:afterAutospacing="0" w:line="276" w:lineRule="auto"/>
        <w:ind w:firstLine="708"/>
        <w:jc w:val="both"/>
        <w:rPr>
          <w:rFonts w:asciiTheme="minorHAnsi" w:hAnsiTheme="minorHAnsi" w:cstheme="minorHAnsi"/>
          <w:i/>
        </w:rPr>
      </w:pPr>
    </w:p>
    <w:p w14:paraId="1868EDFC" w14:textId="77777777" w:rsidR="001F056C" w:rsidRPr="002974BE" w:rsidRDefault="001F056C" w:rsidP="001D7F2E">
      <w:pPr>
        <w:pStyle w:val="NormalWeb"/>
        <w:shd w:val="clear" w:color="auto" w:fill="FFFFFF"/>
        <w:spacing w:before="0" w:beforeAutospacing="0" w:after="0" w:afterAutospacing="0" w:line="276" w:lineRule="auto"/>
        <w:ind w:firstLine="708"/>
        <w:jc w:val="both"/>
        <w:rPr>
          <w:rFonts w:asciiTheme="minorHAnsi" w:hAnsiTheme="minorHAnsi" w:cstheme="minorHAnsi"/>
          <w:i/>
        </w:rPr>
      </w:pPr>
      <w:r w:rsidRPr="002974BE">
        <w:rPr>
          <w:rFonts w:asciiTheme="minorHAnsi" w:hAnsiTheme="minorHAnsi" w:cstheme="minorHAnsi"/>
          <w:i/>
        </w:rPr>
        <w:t>Citometría de flujo basado en microesferas para la detección de anticuerpos contra el SARS-CoV-2.</w:t>
      </w:r>
    </w:p>
    <w:p w14:paraId="0C7E9EC9" w14:textId="77777777" w:rsidR="001F056C" w:rsidRPr="002974BE" w:rsidRDefault="001F056C" w:rsidP="001D7F2E">
      <w:pPr>
        <w:pStyle w:val="NormalWeb"/>
        <w:shd w:val="clear" w:color="auto" w:fill="FFFFFF"/>
        <w:spacing w:before="0" w:beforeAutospacing="0" w:after="0" w:afterAutospacing="0" w:line="276" w:lineRule="auto"/>
        <w:ind w:firstLine="708"/>
        <w:jc w:val="both"/>
        <w:rPr>
          <w:rFonts w:asciiTheme="minorHAnsi" w:hAnsiTheme="minorHAnsi" w:cstheme="minorHAnsi"/>
          <w:i/>
        </w:rPr>
      </w:pPr>
    </w:p>
    <w:p w14:paraId="709E4E5F" w14:textId="665D9A36" w:rsidR="001F056C" w:rsidRPr="002974BE" w:rsidRDefault="001F056C" w:rsidP="001D7F2E">
      <w:pPr>
        <w:pStyle w:val="NormalWeb"/>
        <w:shd w:val="clear" w:color="auto" w:fill="FFFFFF"/>
        <w:spacing w:before="0" w:beforeAutospacing="0" w:after="0" w:afterAutospacing="0" w:line="276" w:lineRule="auto"/>
        <w:jc w:val="both"/>
        <w:rPr>
          <w:rFonts w:asciiTheme="minorHAnsi" w:hAnsiTheme="minorHAnsi" w:cstheme="minorHAnsi"/>
        </w:rPr>
      </w:pPr>
      <w:r w:rsidRPr="002974BE">
        <w:rPr>
          <w:rFonts w:asciiTheme="minorHAnsi" w:hAnsiTheme="minorHAnsi" w:cstheme="minorHAnsi"/>
        </w:rPr>
        <w:t xml:space="preserve">Se utilizó un kit de inmunoensayo multiplex que emplea microesferas de poliestireno magnéticas con un diámetro de 5.5 ±0.2 (CV&lt;5%) cubiertas con antígenos de SARS-CoV-2 que evaluó en una sola reacción, la </w:t>
      </w:r>
      <w:proofErr w:type="spellStart"/>
      <w:r w:rsidRPr="002974BE">
        <w:rPr>
          <w:rFonts w:asciiTheme="minorHAnsi" w:hAnsiTheme="minorHAnsi" w:cstheme="minorHAnsi"/>
        </w:rPr>
        <w:t>serorreactividad</w:t>
      </w:r>
      <w:proofErr w:type="spellEnd"/>
      <w:r w:rsidRPr="002974BE">
        <w:rPr>
          <w:rFonts w:asciiTheme="minorHAnsi" w:hAnsiTheme="minorHAnsi" w:cstheme="minorHAnsi"/>
        </w:rPr>
        <w:t xml:space="preserve"> de cuatro antígenos (</w:t>
      </w:r>
      <w:proofErr w:type="spellStart"/>
      <w:r w:rsidRPr="002974BE">
        <w:rPr>
          <w:rFonts w:asciiTheme="minorHAnsi" w:hAnsiTheme="minorHAnsi" w:cstheme="minorHAnsi"/>
        </w:rPr>
        <w:t>Spike</w:t>
      </w:r>
      <w:proofErr w:type="spellEnd"/>
      <w:r w:rsidRPr="002974BE">
        <w:rPr>
          <w:rFonts w:asciiTheme="minorHAnsi" w:hAnsiTheme="minorHAnsi" w:cstheme="minorHAnsi"/>
        </w:rPr>
        <w:t xml:space="preserve">, RBD, NP y </w:t>
      </w:r>
      <w:proofErr w:type="spellStart"/>
      <w:r w:rsidRPr="002974BE">
        <w:rPr>
          <w:rFonts w:asciiTheme="minorHAnsi" w:hAnsiTheme="minorHAnsi" w:cstheme="minorHAnsi"/>
        </w:rPr>
        <w:t>M</w:t>
      </w:r>
      <w:r w:rsidR="00632814" w:rsidRPr="002974BE">
        <w:rPr>
          <w:rFonts w:asciiTheme="minorHAnsi" w:hAnsiTheme="minorHAnsi" w:cstheme="minorHAnsi"/>
        </w:rPr>
        <w:t>pro</w:t>
      </w:r>
      <w:proofErr w:type="spellEnd"/>
      <w:r w:rsidRPr="002974BE">
        <w:rPr>
          <w:rFonts w:asciiTheme="minorHAnsi" w:hAnsiTheme="minorHAnsi" w:cstheme="minorHAnsi"/>
        </w:rPr>
        <w:t xml:space="preserve">) y tres anticuerpos (IgA, IgG, IgM) mediante la técnica de Citometría de Flujo. Las muestras de suero fueron diluidas a 1:20 con un tampón diluyente de muestra (1X), </w:t>
      </w:r>
    </w:p>
    <w:p w14:paraId="04318C0D" w14:textId="77777777" w:rsidR="001F056C" w:rsidRPr="002974BE" w:rsidRDefault="001F056C" w:rsidP="001D7F2E">
      <w:pPr>
        <w:pStyle w:val="NormalWeb"/>
        <w:shd w:val="clear" w:color="auto" w:fill="FFFFFF"/>
        <w:spacing w:before="0" w:beforeAutospacing="0" w:after="0" w:afterAutospacing="0" w:line="276" w:lineRule="auto"/>
        <w:jc w:val="both"/>
        <w:rPr>
          <w:rFonts w:asciiTheme="minorHAnsi" w:hAnsiTheme="minorHAnsi" w:cstheme="minorHAnsi"/>
        </w:rPr>
      </w:pPr>
    </w:p>
    <w:p w14:paraId="7BD673CF" w14:textId="77777777" w:rsidR="001F056C" w:rsidRPr="002974BE" w:rsidRDefault="001F056C" w:rsidP="001D7F2E">
      <w:pPr>
        <w:pStyle w:val="NormalWeb"/>
        <w:shd w:val="clear" w:color="auto" w:fill="FFFFFF"/>
        <w:spacing w:before="0" w:beforeAutospacing="0" w:after="0" w:afterAutospacing="0" w:line="276" w:lineRule="auto"/>
        <w:jc w:val="both"/>
        <w:rPr>
          <w:rFonts w:asciiTheme="minorHAnsi" w:hAnsiTheme="minorHAnsi" w:cstheme="minorHAnsi"/>
        </w:rPr>
      </w:pPr>
      <w:r w:rsidRPr="002974BE">
        <w:rPr>
          <w:rFonts w:asciiTheme="minorHAnsi" w:hAnsiTheme="minorHAnsi" w:cstheme="minorHAnsi"/>
        </w:rPr>
        <w:t xml:space="preserve">Se prepararon y rotularon tubos de poliestireno (uno por cada muestra y control) a los que se agregó 10ul de cada una de las microesferas unidas con los antígenos (RBD, S, N y </w:t>
      </w:r>
      <w:proofErr w:type="spellStart"/>
      <w:r w:rsidRPr="002974BE">
        <w:rPr>
          <w:rFonts w:asciiTheme="minorHAnsi" w:hAnsiTheme="minorHAnsi" w:cstheme="minorHAnsi"/>
        </w:rPr>
        <w:t>Mpro</w:t>
      </w:r>
      <w:proofErr w:type="spellEnd"/>
      <w:r w:rsidRPr="002974BE">
        <w:rPr>
          <w:rFonts w:asciiTheme="minorHAnsi" w:hAnsiTheme="minorHAnsi" w:cstheme="minorHAnsi"/>
        </w:rPr>
        <w:t xml:space="preserve">) que previamente habían sido </w:t>
      </w:r>
      <w:proofErr w:type="spellStart"/>
      <w:r w:rsidRPr="002974BE">
        <w:rPr>
          <w:rFonts w:asciiTheme="minorHAnsi" w:hAnsiTheme="minorHAnsi" w:cstheme="minorHAnsi"/>
        </w:rPr>
        <w:t>resuspendidas</w:t>
      </w:r>
      <w:proofErr w:type="spellEnd"/>
      <w:r w:rsidRPr="002974BE">
        <w:rPr>
          <w:rFonts w:asciiTheme="minorHAnsi" w:hAnsiTheme="minorHAnsi" w:cstheme="minorHAnsi"/>
        </w:rPr>
        <w:t xml:space="preserve">. Posterior a ello se adiciono 10ul de muestra a estudiar (previamente diluida a 1:20) y se agito vigorosamente por 20 segundos, luego se incubo por 60 minutos a temperatura ambiente (en oscuridad y agitación). </w:t>
      </w:r>
    </w:p>
    <w:p w14:paraId="6D25C907" w14:textId="77777777" w:rsidR="001F056C" w:rsidRPr="002974BE" w:rsidRDefault="001F056C" w:rsidP="001D7F2E">
      <w:pPr>
        <w:pStyle w:val="NormalWeb"/>
        <w:shd w:val="clear" w:color="auto" w:fill="FFFFFF"/>
        <w:spacing w:before="0" w:beforeAutospacing="0" w:after="0" w:afterAutospacing="0" w:line="276" w:lineRule="auto"/>
        <w:jc w:val="both"/>
        <w:rPr>
          <w:rFonts w:asciiTheme="minorHAnsi" w:hAnsiTheme="minorHAnsi" w:cstheme="minorHAnsi"/>
        </w:rPr>
      </w:pPr>
      <w:r w:rsidRPr="002974BE">
        <w:rPr>
          <w:rFonts w:asciiTheme="minorHAnsi" w:hAnsiTheme="minorHAnsi" w:cstheme="minorHAnsi"/>
        </w:rPr>
        <w:t xml:space="preserve">Después de la incubación se lavó 2 veces (mezcla de anticuerpos unidas a las microesferas) usando 1ml de tampón de lavado. Finalizado lo lavados se agregó 5ul de cada anticuerpo </w:t>
      </w:r>
      <w:proofErr w:type="gramStart"/>
      <w:r w:rsidRPr="002974BE">
        <w:rPr>
          <w:rFonts w:asciiTheme="minorHAnsi" w:hAnsiTheme="minorHAnsi" w:cstheme="minorHAnsi"/>
        </w:rPr>
        <w:t>anti inmunoglobulina</w:t>
      </w:r>
      <w:proofErr w:type="gramEnd"/>
      <w:r w:rsidRPr="002974BE">
        <w:rPr>
          <w:rFonts w:asciiTheme="minorHAnsi" w:hAnsiTheme="minorHAnsi" w:cstheme="minorHAnsi"/>
        </w:rPr>
        <w:t xml:space="preserve"> humana IgG, IgA, e IgM conjugados con </w:t>
      </w:r>
      <w:proofErr w:type="spellStart"/>
      <w:r w:rsidRPr="002974BE">
        <w:rPr>
          <w:rFonts w:asciiTheme="minorHAnsi" w:hAnsiTheme="minorHAnsi" w:cstheme="minorHAnsi"/>
        </w:rPr>
        <w:t>Fluoresceina</w:t>
      </w:r>
      <w:proofErr w:type="spellEnd"/>
      <w:r w:rsidRPr="002974BE">
        <w:rPr>
          <w:rFonts w:asciiTheme="minorHAnsi" w:hAnsiTheme="minorHAnsi" w:cstheme="minorHAnsi"/>
        </w:rPr>
        <w:t xml:space="preserve"> (FITC), Ficoeritrina (PE), y Ficoeritrina </w:t>
      </w:r>
      <w:proofErr w:type="spellStart"/>
      <w:r w:rsidRPr="002974BE">
        <w:rPr>
          <w:rFonts w:asciiTheme="minorHAnsi" w:hAnsiTheme="minorHAnsi" w:cstheme="minorHAnsi"/>
        </w:rPr>
        <w:t>Cianina</w:t>
      </w:r>
      <w:proofErr w:type="spellEnd"/>
      <w:r w:rsidRPr="002974BE">
        <w:rPr>
          <w:rFonts w:asciiTheme="minorHAnsi" w:hAnsiTheme="minorHAnsi" w:cstheme="minorHAnsi"/>
        </w:rPr>
        <w:t xml:space="preserve"> 7 (PE-</w:t>
      </w:r>
      <w:proofErr w:type="spellStart"/>
      <w:r w:rsidRPr="002974BE">
        <w:rPr>
          <w:rFonts w:asciiTheme="minorHAnsi" w:hAnsiTheme="minorHAnsi" w:cstheme="minorHAnsi"/>
        </w:rPr>
        <w:t>Cyanine</w:t>
      </w:r>
      <w:proofErr w:type="spellEnd"/>
      <w:r w:rsidRPr="002974BE">
        <w:rPr>
          <w:rFonts w:asciiTheme="minorHAnsi" w:hAnsiTheme="minorHAnsi" w:cstheme="minorHAnsi"/>
        </w:rPr>
        <w:t xml:space="preserve"> 7) respectivamente. Se dejó incubando por 30 minutos a temperatura ambiente, en oscuridad y agitación, luego se lavó 2 veces. La muestra se </w:t>
      </w:r>
      <w:proofErr w:type="spellStart"/>
      <w:r w:rsidRPr="002974BE">
        <w:rPr>
          <w:rFonts w:asciiTheme="minorHAnsi" w:hAnsiTheme="minorHAnsi" w:cstheme="minorHAnsi"/>
        </w:rPr>
        <w:t>resuspendió</w:t>
      </w:r>
      <w:proofErr w:type="spellEnd"/>
      <w:r w:rsidRPr="002974BE">
        <w:rPr>
          <w:rFonts w:asciiTheme="minorHAnsi" w:hAnsiTheme="minorHAnsi" w:cstheme="minorHAnsi"/>
        </w:rPr>
        <w:t xml:space="preserve"> en 200ul de PBS y se analizó en el Citómetro de Flujo. La intensidad de fluorescencia registrada en el Citómetro será proporcional a la cantidad de anticuerpos presente en la muestra.</w:t>
      </w:r>
    </w:p>
    <w:p w14:paraId="5D9E030F" w14:textId="77777777" w:rsidR="001F056C" w:rsidRPr="002974BE" w:rsidRDefault="001F056C" w:rsidP="001D7F2E">
      <w:pPr>
        <w:pStyle w:val="NormalWeb"/>
        <w:shd w:val="clear" w:color="auto" w:fill="FFFFFF"/>
        <w:spacing w:before="0" w:beforeAutospacing="0" w:after="0" w:afterAutospacing="0" w:line="276" w:lineRule="auto"/>
        <w:ind w:firstLine="708"/>
        <w:jc w:val="both"/>
        <w:rPr>
          <w:rFonts w:asciiTheme="minorHAnsi" w:hAnsiTheme="minorHAnsi" w:cstheme="minorHAnsi"/>
        </w:rPr>
      </w:pPr>
    </w:p>
    <w:p w14:paraId="11E8377C" w14:textId="77777777" w:rsidR="001F056C" w:rsidRPr="002974BE" w:rsidRDefault="001F056C" w:rsidP="001D7F2E">
      <w:pPr>
        <w:pStyle w:val="NormalWeb"/>
        <w:shd w:val="clear" w:color="auto" w:fill="FFFFFF"/>
        <w:spacing w:before="0" w:beforeAutospacing="0" w:after="0" w:afterAutospacing="0" w:line="276" w:lineRule="auto"/>
        <w:ind w:firstLine="708"/>
        <w:jc w:val="both"/>
        <w:rPr>
          <w:rFonts w:asciiTheme="minorHAnsi" w:hAnsiTheme="minorHAnsi" w:cstheme="minorHAnsi"/>
          <w:i/>
        </w:rPr>
      </w:pPr>
      <w:r w:rsidRPr="002974BE">
        <w:rPr>
          <w:rFonts w:asciiTheme="minorHAnsi" w:hAnsiTheme="minorHAnsi" w:cstheme="minorHAnsi"/>
          <w:i/>
        </w:rPr>
        <w:t xml:space="preserve">Aprobación ética </w:t>
      </w:r>
    </w:p>
    <w:p w14:paraId="2466CE7B" w14:textId="20CA0464" w:rsidR="001F056C" w:rsidRPr="002974BE" w:rsidRDefault="001F056C" w:rsidP="001D7F2E">
      <w:pPr>
        <w:pStyle w:val="NormalWeb"/>
        <w:shd w:val="clear" w:color="auto" w:fill="FFFFFF"/>
        <w:spacing w:before="0" w:beforeAutospacing="0" w:after="0" w:afterAutospacing="0" w:line="276" w:lineRule="auto"/>
        <w:jc w:val="both"/>
        <w:rPr>
          <w:rFonts w:asciiTheme="minorHAnsi" w:hAnsiTheme="minorHAnsi" w:cstheme="minorHAnsi"/>
        </w:rPr>
      </w:pPr>
      <w:r w:rsidRPr="002974BE">
        <w:rPr>
          <w:rFonts w:asciiTheme="minorHAnsi" w:hAnsiTheme="minorHAnsi" w:cstheme="minorHAnsi"/>
        </w:rPr>
        <w:t xml:space="preserve">El estudio fue realizado en base a los principios recogidos en la declaración de Helsinki de 1964, con sus respectivas modificaciones y estándares éticos, el mismo que fue aprobado por el Comité de Ética Institucional de Ética en Investigación del INSNSB con Oficio </w:t>
      </w:r>
      <w:proofErr w:type="spellStart"/>
      <w:r w:rsidRPr="002974BE">
        <w:rPr>
          <w:rFonts w:asciiTheme="minorHAnsi" w:hAnsiTheme="minorHAnsi" w:cstheme="minorHAnsi"/>
          <w:i/>
        </w:rPr>
        <w:t>N°</w:t>
      </w:r>
      <w:proofErr w:type="spellEnd"/>
      <w:r w:rsidRPr="002974BE">
        <w:rPr>
          <w:rFonts w:asciiTheme="minorHAnsi" w:hAnsiTheme="minorHAnsi" w:cstheme="minorHAnsi"/>
          <w:i/>
        </w:rPr>
        <w:t xml:space="preserve"> 002-2022-CIEI-INSN-SAN BORJA.</w:t>
      </w:r>
      <w:r w:rsidRPr="002974BE">
        <w:rPr>
          <w:rFonts w:asciiTheme="minorHAnsi" w:hAnsiTheme="minorHAnsi" w:cstheme="minorHAnsi"/>
        </w:rPr>
        <w:t xml:space="preserve"> Se obtuvo consentimiento informado por escrito de todos los participantes. </w:t>
      </w:r>
    </w:p>
    <w:p w14:paraId="170C1084" w14:textId="77777777" w:rsidR="001F056C" w:rsidRPr="002974BE" w:rsidRDefault="001F056C" w:rsidP="001D7F2E">
      <w:pPr>
        <w:pStyle w:val="Textoindependiente"/>
        <w:spacing w:before="0" w:after="0" w:line="276" w:lineRule="auto"/>
        <w:ind w:left="360"/>
        <w:jc w:val="both"/>
        <w:rPr>
          <w:rFonts w:cstheme="minorHAnsi"/>
          <w:i/>
          <w:sz w:val="22"/>
          <w:szCs w:val="22"/>
        </w:rPr>
      </w:pPr>
    </w:p>
    <w:p w14:paraId="44E24489" w14:textId="77777777" w:rsidR="001F056C" w:rsidRPr="002974BE" w:rsidRDefault="001F056C" w:rsidP="001D7F2E">
      <w:pPr>
        <w:pStyle w:val="Textoindependiente"/>
        <w:spacing w:before="0" w:after="0" w:line="276" w:lineRule="auto"/>
        <w:ind w:left="720"/>
        <w:jc w:val="both"/>
        <w:rPr>
          <w:rFonts w:cstheme="minorHAnsi"/>
          <w:i/>
          <w:sz w:val="22"/>
          <w:szCs w:val="22"/>
        </w:rPr>
      </w:pPr>
      <w:r w:rsidRPr="002974BE">
        <w:rPr>
          <w:rFonts w:cstheme="minorHAnsi"/>
          <w:i/>
          <w:sz w:val="22"/>
          <w:szCs w:val="22"/>
        </w:rPr>
        <w:t xml:space="preserve">Análisis estadístico </w:t>
      </w:r>
    </w:p>
    <w:p w14:paraId="376C1888" w14:textId="77777777" w:rsidR="001F056C" w:rsidRPr="002974BE" w:rsidRDefault="001F056C" w:rsidP="001D7F2E">
      <w:pPr>
        <w:pStyle w:val="Textoindependiente"/>
        <w:spacing w:before="0" w:after="0" w:line="276" w:lineRule="auto"/>
        <w:ind w:firstLine="360"/>
        <w:jc w:val="both"/>
        <w:rPr>
          <w:rFonts w:cstheme="minorHAnsi"/>
          <w:sz w:val="22"/>
          <w:szCs w:val="22"/>
        </w:rPr>
      </w:pPr>
    </w:p>
    <w:p w14:paraId="48F5EE4D" w14:textId="77777777" w:rsidR="001F056C" w:rsidRPr="002974BE" w:rsidRDefault="001F056C" w:rsidP="001D7F2E">
      <w:pPr>
        <w:pStyle w:val="Textoindependiente"/>
        <w:spacing w:before="0" w:after="0" w:line="276" w:lineRule="auto"/>
        <w:jc w:val="both"/>
        <w:rPr>
          <w:rFonts w:eastAsia="Times New Roman" w:cstheme="minorHAnsi"/>
          <w:lang w:eastAsia="es-PE"/>
        </w:rPr>
      </w:pPr>
      <w:r w:rsidRPr="002974BE">
        <w:rPr>
          <w:rFonts w:eastAsia="Times New Roman" w:cstheme="minorHAnsi"/>
          <w:lang w:eastAsia="es-PE"/>
        </w:rPr>
        <w:t xml:space="preserve">Los datos fueron analizados mediante estadísticas descriptivas </w:t>
      </w:r>
      <w:proofErr w:type="spellStart"/>
      <w:r w:rsidRPr="002974BE">
        <w:rPr>
          <w:rFonts w:eastAsia="Times New Roman" w:cstheme="minorHAnsi"/>
          <w:lang w:eastAsia="es-PE"/>
        </w:rPr>
        <w:t>univariadas</w:t>
      </w:r>
      <w:proofErr w:type="spellEnd"/>
      <w:r w:rsidRPr="002974BE">
        <w:rPr>
          <w:rFonts w:eastAsia="Times New Roman" w:cstheme="minorHAnsi"/>
          <w:lang w:eastAsia="es-PE"/>
        </w:rPr>
        <w:t xml:space="preserve">, usando resúmenes en tablas de frecuencias absolutas y relativas porcentuales para características cualitativas, así como aplicación de medidas de posición central y de variabilidad para </w:t>
      </w:r>
      <w:r w:rsidRPr="002974BE">
        <w:rPr>
          <w:rFonts w:eastAsia="Times New Roman" w:cstheme="minorHAnsi"/>
          <w:lang w:eastAsia="es-PE"/>
        </w:rPr>
        <w:lastRenderedPageBreak/>
        <w:t xml:space="preserve">características cuantitativas en función al cumplimiento de supuestos en su distribución; esto para describir las variables clínico demográfico, así como laboratoriales. </w:t>
      </w:r>
    </w:p>
    <w:p w14:paraId="1DC3D219" w14:textId="729683C9" w:rsidR="001F056C" w:rsidRDefault="001F056C" w:rsidP="001D7F2E">
      <w:pPr>
        <w:pStyle w:val="Textoindependiente"/>
        <w:spacing w:before="0" w:after="0" w:line="276" w:lineRule="auto"/>
        <w:jc w:val="both"/>
        <w:rPr>
          <w:rFonts w:eastAsia="Times New Roman" w:cstheme="minorHAnsi"/>
          <w:lang w:eastAsia="es-PE"/>
        </w:rPr>
      </w:pPr>
      <w:r w:rsidRPr="002974BE">
        <w:rPr>
          <w:rFonts w:eastAsia="Times New Roman" w:cstheme="minorHAnsi"/>
          <w:lang w:eastAsia="es-PE"/>
        </w:rPr>
        <w:t xml:space="preserve">Como parte de un análisis exploratorio bivariado cuantitativo de los niveles de anticuerpos IgA, IgM e IgG, se aplicó técnicas de visualización de mapas de calor mediante correlaciones y para las comparaciones, se analizó variabilidad mediante exploración gráfica mediante </w:t>
      </w:r>
      <w:proofErr w:type="spellStart"/>
      <w:r w:rsidRPr="002974BE">
        <w:rPr>
          <w:rFonts w:eastAsia="Times New Roman" w:cstheme="minorHAnsi"/>
          <w:lang w:eastAsia="es-PE"/>
        </w:rPr>
        <w:t>Boxplot</w:t>
      </w:r>
      <w:proofErr w:type="spellEnd"/>
      <w:r w:rsidRPr="002974BE">
        <w:rPr>
          <w:rFonts w:eastAsia="Times New Roman" w:cstheme="minorHAnsi"/>
          <w:lang w:eastAsia="es-PE"/>
        </w:rPr>
        <w:t xml:space="preserve"> y pruebas de hipótesis paramétricas y/o no paramétricas, en base al cumplimiento de supuestos. El procesamiento de la información se realizó con el software estadístico R y </w:t>
      </w:r>
      <w:proofErr w:type="spellStart"/>
      <w:r w:rsidRPr="002974BE">
        <w:rPr>
          <w:rFonts w:eastAsia="Times New Roman" w:cstheme="minorHAnsi"/>
          <w:lang w:eastAsia="es-PE"/>
        </w:rPr>
        <w:t>Rstudio</w:t>
      </w:r>
      <w:proofErr w:type="spellEnd"/>
      <w:r w:rsidRPr="002974BE">
        <w:rPr>
          <w:rFonts w:eastAsia="Times New Roman" w:cstheme="minorHAnsi"/>
          <w:lang w:eastAsia="es-PE"/>
        </w:rPr>
        <w:t>.</w:t>
      </w:r>
    </w:p>
    <w:p w14:paraId="134AB853" w14:textId="2A65699E" w:rsidR="0078619B" w:rsidRDefault="0078619B" w:rsidP="001D7F2E">
      <w:pPr>
        <w:pStyle w:val="Textoindependiente"/>
        <w:spacing w:before="0" w:after="0" w:line="276" w:lineRule="auto"/>
        <w:jc w:val="both"/>
        <w:rPr>
          <w:rFonts w:eastAsia="Times New Roman" w:cstheme="minorHAnsi"/>
          <w:lang w:eastAsia="es-PE"/>
        </w:rPr>
      </w:pPr>
    </w:p>
    <w:p w14:paraId="0F91ABDE" w14:textId="5DAB9CBE" w:rsidR="0078619B" w:rsidRPr="0078619B" w:rsidRDefault="0078619B" w:rsidP="001D7F2E">
      <w:pPr>
        <w:pStyle w:val="Textoindependiente"/>
        <w:spacing w:before="0" w:after="0" w:line="276" w:lineRule="auto"/>
        <w:jc w:val="both"/>
        <w:rPr>
          <w:rFonts w:eastAsia="Times New Roman" w:cstheme="minorHAnsi"/>
          <w:color w:val="FF0000"/>
          <w:lang w:eastAsia="es-PE"/>
        </w:rPr>
      </w:pPr>
      <w:r>
        <w:rPr>
          <w:rFonts w:eastAsia="Times New Roman" w:cstheme="minorHAnsi"/>
          <w:color w:val="FF0000"/>
          <w:lang w:eastAsia="es-PE"/>
        </w:rPr>
        <w:t>SI USAMOS CUANTIFICACION - AGREGAR</w:t>
      </w:r>
    </w:p>
    <w:p w14:paraId="0920EFAD" w14:textId="77777777" w:rsidR="004A15C3" w:rsidRPr="002974BE" w:rsidRDefault="004A15C3" w:rsidP="001D7F2E">
      <w:pPr>
        <w:pStyle w:val="Textoindependiente"/>
        <w:spacing w:before="0" w:after="0" w:line="276" w:lineRule="auto"/>
        <w:jc w:val="both"/>
        <w:rPr>
          <w:rFonts w:cstheme="minorHAnsi"/>
          <w:sz w:val="22"/>
          <w:szCs w:val="22"/>
        </w:rPr>
      </w:pPr>
    </w:p>
    <w:p w14:paraId="4F976D7A" w14:textId="77777777" w:rsidR="004B7B2E" w:rsidRPr="002974BE" w:rsidRDefault="004B7B2E" w:rsidP="001D7F2E">
      <w:pPr>
        <w:pStyle w:val="Textoindependiente"/>
        <w:spacing w:before="0" w:after="0" w:line="276" w:lineRule="auto"/>
        <w:jc w:val="both"/>
        <w:rPr>
          <w:rFonts w:cstheme="minorHAnsi"/>
          <w:sz w:val="22"/>
          <w:szCs w:val="22"/>
        </w:rPr>
      </w:pPr>
    </w:p>
    <w:p w14:paraId="71B9E9EF" w14:textId="77777777" w:rsidR="00731688" w:rsidRPr="002974BE" w:rsidRDefault="00731688" w:rsidP="001D7F2E">
      <w:pPr>
        <w:pStyle w:val="Textoindependiente"/>
        <w:spacing w:before="0" w:after="0" w:line="276" w:lineRule="auto"/>
        <w:jc w:val="both"/>
        <w:rPr>
          <w:rFonts w:cstheme="minorHAnsi"/>
          <w:b/>
          <w:sz w:val="22"/>
          <w:szCs w:val="22"/>
        </w:rPr>
      </w:pPr>
      <w:r w:rsidRPr="002974BE">
        <w:rPr>
          <w:rFonts w:cstheme="minorHAnsi"/>
          <w:b/>
          <w:sz w:val="22"/>
          <w:szCs w:val="22"/>
        </w:rPr>
        <w:t>RESULTADOS</w:t>
      </w:r>
    </w:p>
    <w:p w14:paraId="04506F23" w14:textId="0FA9037D" w:rsidR="00731688" w:rsidRPr="002974BE" w:rsidRDefault="00731688" w:rsidP="001D7F2E">
      <w:pPr>
        <w:pStyle w:val="Textoindependiente"/>
        <w:spacing w:before="0" w:after="0" w:line="276" w:lineRule="auto"/>
        <w:jc w:val="both"/>
        <w:rPr>
          <w:rFonts w:cstheme="minorHAnsi"/>
          <w:sz w:val="22"/>
          <w:szCs w:val="22"/>
        </w:rPr>
      </w:pPr>
      <w:r w:rsidRPr="002974BE">
        <w:rPr>
          <w:rFonts w:cstheme="minorHAnsi"/>
          <w:sz w:val="22"/>
          <w:szCs w:val="22"/>
        </w:rPr>
        <w:t xml:space="preserve">Con respecto a las características epidemiológicas de los 163 trabajadores infectados y no por SARS-CoV-2, quienes </w:t>
      </w:r>
      <w:r w:rsidR="0078619B" w:rsidRPr="0078619B">
        <w:rPr>
          <w:rFonts w:cstheme="minorHAnsi"/>
          <w:sz w:val="22"/>
          <w:szCs w:val="22"/>
        </w:rPr>
        <w:t>formaron parte del estudio, se observó que la edad media</w:t>
      </w:r>
      <w:r w:rsidRPr="0078619B">
        <w:rPr>
          <w:rFonts w:cstheme="minorHAnsi"/>
          <w:sz w:val="22"/>
          <w:szCs w:val="22"/>
        </w:rPr>
        <w:t xml:space="preserve"> fue 38 años, el 67.5% fueron mujeres, 52.8% fue personal asistencial</w:t>
      </w:r>
      <w:r w:rsidR="0078619B">
        <w:rPr>
          <w:rFonts w:cstheme="minorHAnsi"/>
          <w:sz w:val="22"/>
          <w:szCs w:val="22"/>
        </w:rPr>
        <w:t>,</w:t>
      </w:r>
      <w:r w:rsidRPr="0078619B">
        <w:rPr>
          <w:rFonts w:cstheme="minorHAnsi"/>
          <w:sz w:val="22"/>
          <w:szCs w:val="22"/>
        </w:rPr>
        <w:t xml:space="preserve"> 84</w:t>
      </w:r>
      <w:r w:rsidRPr="002974BE">
        <w:rPr>
          <w:rFonts w:cstheme="minorHAnsi"/>
          <w:sz w:val="22"/>
          <w:szCs w:val="22"/>
        </w:rPr>
        <w:t xml:space="preserve">.7% con grupo sanguíneo O+ y sólo un 19.0% que presentó algún tipo de comorbilidad, siendo el más prevalente la </w:t>
      </w:r>
      <w:proofErr w:type="spellStart"/>
      <w:r w:rsidR="0078619B">
        <w:rPr>
          <w:rFonts w:cstheme="minorHAnsi"/>
          <w:sz w:val="22"/>
          <w:szCs w:val="22"/>
        </w:rPr>
        <w:t>hipertension</w:t>
      </w:r>
      <w:proofErr w:type="spellEnd"/>
      <w:r w:rsidRPr="002974BE">
        <w:rPr>
          <w:rFonts w:cstheme="minorHAnsi"/>
          <w:sz w:val="22"/>
          <w:szCs w:val="22"/>
        </w:rPr>
        <w:t xml:space="preserve"> arterial (5.5%), seguido de obesidad y diabetes, en un 4.3% y 3.1% respectivamente (Tabla 1). </w:t>
      </w:r>
    </w:p>
    <w:p w14:paraId="1CC44831" w14:textId="77777777" w:rsidR="00731688" w:rsidRPr="002974BE" w:rsidRDefault="00731688" w:rsidP="001D7F2E">
      <w:pPr>
        <w:pStyle w:val="Textoindependiente"/>
        <w:spacing w:before="0" w:after="0" w:line="276" w:lineRule="auto"/>
        <w:jc w:val="both"/>
        <w:rPr>
          <w:rFonts w:cstheme="minorHAnsi"/>
          <w:b/>
          <w:sz w:val="22"/>
          <w:szCs w:val="22"/>
        </w:rPr>
      </w:pPr>
    </w:p>
    <w:p w14:paraId="3112354D" w14:textId="77777777" w:rsidR="00731688" w:rsidRPr="002974BE" w:rsidRDefault="00731688" w:rsidP="001D7F2E">
      <w:pPr>
        <w:pStyle w:val="Textoindependiente"/>
        <w:spacing w:before="0" w:after="0" w:line="276" w:lineRule="auto"/>
        <w:jc w:val="both"/>
        <w:rPr>
          <w:rFonts w:cstheme="minorHAnsi"/>
          <w:b/>
          <w:sz w:val="22"/>
          <w:szCs w:val="22"/>
        </w:rPr>
      </w:pPr>
      <w:r w:rsidRPr="002974BE">
        <w:rPr>
          <w:rFonts w:cstheme="minorHAnsi"/>
          <w:b/>
          <w:sz w:val="22"/>
          <w:szCs w:val="22"/>
        </w:rPr>
        <w:t>Tabla 1. Características epidemiológicas de los trabajadores vacunos contra SARS-Cov-2 del instituto Nacional de Salud de San Borja.</w:t>
      </w:r>
    </w:p>
    <w:p w14:paraId="229398FA" w14:textId="77777777" w:rsidR="00731688" w:rsidRPr="002974BE" w:rsidRDefault="00731688" w:rsidP="001D7F2E">
      <w:pPr>
        <w:pStyle w:val="Textoindependiente"/>
        <w:spacing w:before="0" w:after="0" w:line="276" w:lineRule="auto"/>
        <w:jc w:val="both"/>
        <w:rPr>
          <w:rFonts w:cstheme="minorHAnsi"/>
          <w:b/>
          <w:sz w:val="18"/>
          <w:szCs w:val="22"/>
        </w:rPr>
      </w:pPr>
    </w:p>
    <w:tbl>
      <w:tblPr>
        <w:tblW w:w="5540" w:type="dxa"/>
        <w:jc w:val="center"/>
        <w:tblCellMar>
          <w:left w:w="70" w:type="dxa"/>
          <w:right w:w="70" w:type="dxa"/>
        </w:tblCellMar>
        <w:tblLook w:val="04A0" w:firstRow="1" w:lastRow="0" w:firstColumn="1" w:lastColumn="0" w:noHBand="0" w:noVBand="1"/>
      </w:tblPr>
      <w:tblGrid>
        <w:gridCol w:w="3080"/>
        <w:gridCol w:w="1200"/>
        <w:gridCol w:w="1260"/>
      </w:tblGrid>
      <w:tr w:rsidR="00731688" w:rsidRPr="002974BE" w14:paraId="2CE8A05C" w14:textId="77777777" w:rsidTr="005F269C">
        <w:trPr>
          <w:trHeight w:val="315"/>
          <w:jc w:val="center"/>
        </w:trPr>
        <w:tc>
          <w:tcPr>
            <w:tcW w:w="3080" w:type="dxa"/>
            <w:tcBorders>
              <w:top w:val="single" w:sz="4" w:space="0" w:color="auto"/>
              <w:left w:val="nil"/>
              <w:bottom w:val="single" w:sz="4" w:space="0" w:color="auto"/>
              <w:right w:val="nil"/>
            </w:tcBorders>
            <w:shd w:val="clear" w:color="000000" w:fill="FFFFFF"/>
            <w:vAlign w:val="bottom"/>
            <w:hideMark/>
          </w:tcPr>
          <w:p w14:paraId="136065AC"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 </w:t>
            </w:r>
          </w:p>
        </w:tc>
        <w:tc>
          <w:tcPr>
            <w:tcW w:w="1200" w:type="dxa"/>
            <w:tcBorders>
              <w:top w:val="single" w:sz="4" w:space="0" w:color="auto"/>
              <w:left w:val="nil"/>
              <w:bottom w:val="single" w:sz="4" w:space="0" w:color="auto"/>
              <w:right w:val="nil"/>
            </w:tcBorders>
            <w:shd w:val="clear" w:color="000000" w:fill="FFFFFF"/>
            <w:vAlign w:val="bottom"/>
            <w:hideMark/>
          </w:tcPr>
          <w:p w14:paraId="74292975" w14:textId="77777777" w:rsidR="00731688" w:rsidRPr="002974BE" w:rsidRDefault="00731688" w:rsidP="001D7F2E">
            <w:pPr>
              <w:spacing w:after="0" w:line="240" w:lineRule="auto"/>
              <w:jc w:val="both"/>
              <w:rPr>
                <w:rFonts w:eastAsia="Times New Roman" w:cstheme="minorHAnsi"/>
                <w:b/>
                <w:bCs/>
                <w:sz w:val="24"/>
                <w:szCs w:val="24"/>
                <w:lang w:eastAsia="es-PE"/>
              </w:rPr>
            </w:pPr>
            <w:r w:rsidRPr="002974BE">
              <w:rPr>
                <w:rFonts w:eastAsia="Times New Roman" w:cstheme="minorHAnsi"/>
                <w:b/>
                <w:bCs/>
                <w:sz w:val="24"/>
                <w:szCs w:val="24"/>
                <w:lang w:eastAsia="es-PE"/>
              </w:rPr>
              <w:t>n=163</w:t>
            </w:r>
          </w:p>
        </w:tc>
        <w:tc>
          <w:tcPr>
            <w:tcW w:w="1260" w:type="dxa"/>
            <w:tcBorders>
              <w:top w:val="single" w:sz="4" w:space="0" w:color="auto"/>
              <w:left w:val="nil"/>
              <w:bottom w:val="single" w:sz="4" w:space="0" w:color="auto"/>
              <w:right w:val="nil"/>
            </w:tcBorders>
            <w:shd w:val="clear" w:color="000000" w:fill="FFFFFF"/>
            <w:vAlign w:val="bottom"/>
            <w:hideMark/>
          </w:tcPr>
          <w:p w14:paraId="6A2873A0" w14:textId="77777777" w:rsidR="00731688" w:rsidRPr="002974BE" w:rsidRDefault="00731688" w:rsidP="001D7F2E">
            <w:pPr>
              <w:spacing w:after="0" w:line="240" w:lineRule="auto"/>
              <w:jc w:val="both"/>
              <w:rPr>
                <w:rFonts w:eastAsia="Times New Roman" w:cstheme="minorHAnsi"/>
                <w:b/>
                <w:bCs/>
                <w:sz w:val="24"/>
                <w:szCs w:val="24"/>
                <w:lang w:eastAsia="es-PE"/>
              </w:rPr>
            </w:pPr>
            <w:r w:rsidRPr="002974BE">
              <w:rPr>
                <w:rFonts w:eastAsia="Times New Roman" w:cstheme="minorHAnsi"/>
                <w:b/>
                <w:bCs/>
                <w:sz w:val="24"/>
                <w:szCs w:val="24"/>
                <w:lang w:eastAsia="es-PE"/>
              </w:rPr>
              <w:t>Porcentaje</w:t>
            </w:r>
          </w:p>
        </w:tc>
      </w:tr>
      <w:tr w:rsidR="00731688" w:rsidRPr="002974BE" w14:paraId="4033A5CA" w14:textId="77777777" w:rsidTr="005F269C">
        <w:trPr>
          <w:trHeight w:val="315"/>
          <w:jc w:val="center"/>
        </w:trPr>
        <w:tc>
          <w:tcPr>
            <w:tcW w:w="3080" w:type="dxa"/>
            <w:tcBorders>
              <w:top w:val="nil"/>
              <w:left w:val="nil"/>
              <w:bottom w:val="nil"/>
              <w:right w:val="nil"/>
            </w:tcBorders>
            <w:shd w:val="clear" w:color="000000" w:fill="FFFFFF"/>
            <w:vAlign w:val="bottom"/>
            <w:hideMark/>
          </w:tcPr>
          <w:p w14:paraId="735CBE17" w14:textId="77777777" w:rsidR="00731688" w:rsidRPr="002974BE" w:rsidRDefault="00731688" w:rsidP="001D7F2E">
            <w:pPr>
              <w:spacing w:after="0" w:line="240" w:lineRule="auto"/>
              <w:jc w:val="both"/>
              <w:rPr>
                <w:rFonts w:eastAsia="Times New Roman" w:cstheme="minorHAnsi"/>
                <w:b/>
                <w:bCs/>
                <w:sz w:val="24"/>
                <w:szCs w:val="24"/>
                <w:lang w:eastAsia="es-PE"/>
              </w:rPr>
            </w:pPr>
            <w:r w:rsidRPr="002974BE">
              <w:rPr>
                <w:rFonts w:eastAsia="Times New Roman" w:cstheme="minorHAnsi"/>
                <w:b/>
                <w:bCs/>
                <w:sz w:val="24"/>
                <w:szCs w:val="24"/>
                <w:lang w:eastAsia="es-PE"/>
              </w:rPr>
              <w:t>Edad</w:t>
            </w:r>
          </w:p>
        </w:tc>
        <w:tc>
          <w:tcPr>
            <w:tcW w:w="1200" w:type="dxa"/>
            <w:tcBorders>
              <w:top w:val="nil"/>
              <w:left w:val="nil"/>
              <w:bottom w:val="nil"/>
              <w:right w:val="nil"/>
            </w:tcBorders>
            <w:shd w:val="clear" w:color="000000" w:fill="FFFFFF"/>
            <w:vAlign w:val="bottom"/>
            <w:hideMark/>
          </w:tcPr>
          <w:p w14:paraId="47F55BEF" w14:textId="77777777" w:rsidR="00731688" w:rsidRPr="002974BE" w:rsidRDefault="00731688" w:rsidP="001D7F2E">
            <w:pPr>
              <w:spacing w:after="0" w:line="240" w:lineRule="auto"/>
              <w:jc w:val="both"/>
              <w:rPr>
                <w:rFonts w:eastAsia="Times New Roman" w:cstheme="minorHAnsi"/>
                <w:b/>
                <w:bCs/>
                <w:sz w:val="24"/>
                <w:szCs w:val="24"/>
                <w:lang w:eastAsia="es-PE"/>
              </w:rPr>
            </w:pPr>
            <w:r w:rsidRPr="002974BE">
              <w:rPr>
                <w:rFonts w:eastAsia="Times New Roman" w:cstheme="minorHAnsi"/>
                <w:b/>
                <w:bCs/>
                <w:sz w:val="24"/>
                <w:szCs w:val="24"/>
                <w:lang w:eastAsia="es-PE"/>
              </w:rPr>
              <w:t> </w:t>
            </w:r>
          </w:p>
        </w:tc>
        <w:tc>
          <w:tcPr>
            <w:tcW w:w="1260" w:type="dxa"/>
            <w:tcBorders>
              <w:top w:val="nil"/>
              <w:left w:val="nil"/>
              <w:bottom w:val="nil"/>
              <w:right w:val="nil"/>
            </w:tcBorders>
            <w:shd w:val="clear" w:color="000000" w:fill="FFFFFF"/>
            <w:vAlign w:val="bottom"/>
            <w:hideMark/>
          </w:tcPr>
          <w:p w14:paraId="2AD4C91A" w14:textId="77777777" w:rsidR="00731688" w:rsidRPr="002974BE" w:rsidRDefault="00731688" w:rsidP="001D7F2E">
            <w:pPr>
              <w:spacing w:after="0" w:line="240" w:lineRule="auto"/>
              <w:jc w:val="both"/>
              <w:rPr>
                <w:rFonts w:eastAsia="Times New Roman" w:cstheme="minorHAnsi"/>
                <w:b/>
                <w:bCs/>
                <w:sz w:val="24"/>
                <w:szCs w:val="24"/>
                <w:lang w:eastAsia="es-PE"/>
              </w:rPr>
            </w:pPr>
            <w:r w:rsidRPr="002974BE">
              <w:rPr>
                <w:rFonts w:eastAsia="Times New Roman" w:cstheme="minorHAnsi"/>
                <w:b/>
                <w:bCs/>
                <w:sz w:val="24"/>
                <w:szCs w:val="24"/>
                <w:lang w:eastAsia="es-PE"/>
              </w:rPr>
              <w:t> </w:t>
            </w:r>
          </w:p>
        </w:tc>
      </w:tr>
      <w:tr w:rsidR="00731688" w:rsidRPr="002974BE" w14:paraId="7E60967F" w14:textId="77777777" w:rsidTr="005F269C">
        <w:trPr>
          <w:trHeight w:val="315"/>
          <w:jc w:val="center"/>
        </w:trPr>
        <w:tc>
          <w:tcPr>
            <w:tcW w:w="3080" w:type="dxa"/>
            <w:tcBorders>
              <w:top w:val="nil"/>
              <w:left w:val="nil"/>
              <w:bottom w:val="nil"/>
              <w:right w:val="nil"/>
            </w:tcBorders>
            <w:shd w:val="clear" w:color="000000" w:fill="FFFFFF"/>
            <w:vAlign w:val="bottom"/>
            <w:hideMark/>
          </w:tcPr>
          <w:p w14:paraId="186C0AD4"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Mediana (RIC)</w:t>
            </w:r>
          </w:p>
        </w:tc>
        <w:tc>
          <w:tcPr>
            <w:tcW w:w="2460" w:type="dxa"/>
            <w:gridSpan w:val="2"/>
            <w:tcBorders>
              <w:top w:val="nil"/>
              <w:left w:val="nil"/>
              <w:bottom w:val="nil"/>
              <w:right w:val="nil"/>
            </w:tcBorders>
            <w:shd w:val="clear" w:color="000000" w:fill="FFFFFF"/>
            <w:vAlign w:val="bottom"/>
            <w:hideMark/>
          </w:tcPr>
          <w:p w14:paraId="03E835B2"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38 (33 - 45)</w:t>
            </w:r>
          </w:p>
        </w:tc>
      </w:tr>
      <w:tr w:rsidR="00731688" w:rsidRPr="002974BE" w14:paraId="1755E2B2" w14:textId="77777777" w:rsidTr="005F269C">
        <w:trPr>
          <w:trHeight w:val="315"/>
          <w:jc w:val="center"/>
        </w:trPr>
        <w:tc>
          <w:tcPr>
            <w:tcW w:w="3080" w:type="dxa"/>
            <w:tcBorders>
              <w:top w:val="nil"/>
              <w:left w:val="nil"/>
              <w:bottom w:val="nil"/>
              <w:right w:val="nil"/>
            </w:tcBorders>
            <w:shd w:val="clear" w:color="000000" w:fill="FFFFFF"/>
            <w:vAlign w:val="bottom"/>
            <w:hideMark/>
          </w:tcPr>
          <w:p w14:paraId="5A7A861D" w14:textId="77777777" w:rsidR="00731688" w:rsidRPr="002974BE" w:rsidRDefault="00731688" w:rsidP="001D7F2E">
            <w:pPr>
              <w:spacing w:after="0" w:line="240" w:lineRule="auto"/>
              <w:jc w:val="both"/>
              <w:rPr>
                <w:rFonts w:eastAsia="Times New Roman" w:cstheme="minorHAnsi"/>
                <w:b/>
                <w:bCs/>
                <w:sz w:val="24"/>
                <w:szCs w:val="24"/>
                <w:lang w:eastAsia="es-PE"/>
              </w:rPr>
            </w:pPr>
            <w:r w:rsidRPr="002974BE">
              <w:rPr>
                <w:rFonts w:eastAsia="Times New Roman" w:cstheme="minorHAnsi"/>
                <w:b/>
                <w:bCs/>
                <w:sz w:val="24"/>
                <w:szCs w:val="24"/>
                <w:lang w:eastAsia="es-PE"/>
              </w:rPr>
              <w:t>Sexo</w:t>
            </w:r>
          </w:p>
        </w:tc>
        <w:tc>
          <w:tcPr>
            <w:tcW w:w="1200" w:type="dxa"/>
            <w:tcBorders>
              <w:top w:val="nil"/>
              <w:left w:val="nil"/>
              <w:bottom w:val="nil"/>
              <w:right w:val="nil"/>
            </w:tcBorders>
            <w:shd w:val="clear" w:color="000000" w:fill="FFFFFF"/>
            <w:vAlign w:val="bottom"/>
            <w:hideMark/>
          </w:tcPr>
          <w:p w14:paraId="2977E9AB"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 </w:t>
            </w:r>
          </w:p>
        </w:tc>
        <w:tc>
          <w:tcPr>
            <w:tcW w:w="1260" w:type="dxa"/>
            <w:tcBorders>
              <w:top w:val="nil"/>
              <w:left w:val="nil"/>
              <w:bottom w:val="nil"/>
              <w:right w:val="nil"/>
            </w:tcBorders>
            <w:shd w:val="clear" w:color="000000" w:fill="FFFFFF"/>
            <w:vAlign w:val="bottom"/>
            <w:hideMark/>
          </w:tcPr>
          <w:p w14:paraId="784C0482"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 </w:t>
            </w:r>
          </w:p>
        </w:tc>
      </w:tr>
      <w:tr w:rsidR="00731688" w:rsidRPr="002974BE" w14:paraId="520F54FA" w14:textId="77777777" w:rsidTr="005F269C">
        <w:trPr>
          <w:trHeight w:val="315"/>
          <w:jc w:val="center"/>
        </w:trPr>
        <w:tc>
          <w:tcPr>
            <w:tcW w:w="3080" w:type="dxa"/>
            <w:tcBorders>
              <w:top w:val="nil"/>
              <w:left w:val="nil"/>
              <w:bottom w:val="nil"/>
              <w:right w:val="nil"/>
            </w:tcBorders>
            <w:shd w:val="clear" w:color="000000" w:fill="FFFFFF"/>
            <w:hideMark/>
          </w:tcPr>
          <w:p w14:paraId="54E676B1"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Hombres</w:t>
            </w:r>
          </w:p>
        </w:tc>
        <w:tc>
          <w:tcPr>
            <w:tcW w:w="1200" w:type="dxa"/>
            <w:tcBorders>
              <w:top w:val="nil"/>
              <w:left w:val="nil"/>
              <w:bottom w:val="nil"/>
              <w:right w:val="nil"/>
            </w:tcBorders>
            <w:shd w:val="clear" w:color="000000" w:fill="FFFFFF"/>
            <w:noWrap/>
            <w:hideMark/>
          </w:tcPr>
          <w:p w14:paraId="28644EB3"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53</w:t>
            </w:r>
          </w:p>
        </w:tc>
        <w:tc>
          <w:tcPr>
            <w:tcW w:w="1260" w:type="dxa"/>
            <w:tcBorders>
              <w:top w:val="nil"/>
              <w:left w:val="nil"/>
              <w:bottom w:val="nil"/>
              <w:right w:val="nil"/>
            </w:tcBorders>
            <w:shd w:val="clear" w:color="000000" w:fill="FFFFFF"/>
            <w:noWrap/>
            <w:hideMark/>
          </w:tcPr>
          <w:p w14:paraId="2B2C002C"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32.5%</w:t>
            </w:r>
          </w:p>
        </w:tc>
      </w:tr>
      <w:tr w:rsidR="00731688" w:rsidRPr="002974BE" w14:paraId="49B83BE5" w14:textId="77777777" w:rsidTr="005F269C">
        <w:trPr>
          <w:trHeight w:val="315"/>
          <w:jc w:val="center"/>
        </w:trPr>
        <w:tc>
          <w:tcPr>
            <w:tcW w:w="3080" w:type="dxa"/>
            <w:tcBorders>
              <w:top w:val="nil"/>
              <w:left w:val="nil"/>
              <w:bottom w:val="nil"/>
              <w:right w:val="nil"/>
            </w:tcBorders>
            <w:shd w:val="clear" w:color="000000" w:fill="FFFFFF"/>
            <w:hideMark/>
          </w:tcPr>
          <w:p w14:paraId="313BCF1E"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Mujeres</w:t>
            </w:r>
          </w:p>
        </w:tc>
        <w:tc>
          <w:tcPr>
            <w:tcW w:w="1200" w:type="dxa"/>
            <w:tcBorders>
              <w:top w:val="nil"/>
              <w:left w:val="nil"/>
              <w:bottom w:val="nil"/>
              <w:right w:val="nil"/>
            </w:tcBorders>
            <w:shd w:val="clear" w:color="000000" w:fill="FFFFFF"/>
            <w:noWrap/>
            <w:hideMark/>
          </w:tcPr>
          <w:p w14:paraId="5E8572A3"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110</w:t>
            </w:r>
          </w:p>
        </w:tc>
        <w:tc>
          <w:tcPr>
            <w:tcW w:w="1260" w:type="dxa"/>
            <w:tcBorders>
              <w:top w:val="nil"/>
              <w:left w:val="nil"/>
              <w:bottom w:val="nil"/>
              <w:right w:val="nil"/>
            </w:tcBorders>
            <w:shd w:val="clear" w:color="000000" w:fill="FFFFFF"/>
            <w:noWrap/>
            <w:hideMark/>
          </w:tcPr>
          <w:p w14:paraId="408BAEA8"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67.5%</w:t>
            </w:r>
          </w:p>
        </w:tc>
      </w:tr>
      <w:tr w:rsidR="00731688" w:rsidRPr="002974BE" w14:paraId="0D70C9F6" w14:textId="77777777" w:rsidTr="005F269C">
        <w:trPr>
          <w:trHeight w:val="315"/>
          <w:jc w:val="center"/>
        </w:trPr>
        <w:tc>
          <w:tcPr>
            <w:tcW w:w="3080" w:type="dxa"/>
            <w:tcBorders>
              <w:top w:val="nil"/>
              <w:left w:val="nil"/>
              <w:bottom w:val="nil"/>
              <w:right w:val="nil"/>
            </w:tcBorders>
            <w:shd w:val="clear" w:color="000000" w:fill="FFFFFF"/>
            <w:vAlign w:val="bottom"/>
            <w:hideMark/>
          </w:tcPr>
          <w:p w14:paraId="3BDEAA5E" w14:textId="77777777" w:rsidR="00731688" w:rsidRPr="002974BE" w:rsidRDefault="00731688" w:rsidP="001D7F2E">
            <w:pPr>
              <w:spacing w:after="0" w:line="240" w:lineRule="auto"/>
              <w:jc w:val="both"/>
              <w:rPr>
                <w:rFonts w:eastAsia="Times New Roman" w:cstheme="minorHAnsi"/>
                <w:b/>
                <w:bCs/>
                <w:sz w:val="24"/>
                <w:szCs w:val="24"/>
                <w:lang w:eastAsia="es-PE"/>
              </w:rPr>
            </w:pPr>
            <w:r w:rsidRPr="002974BE">
              <w:rPr>
                <w:rFonts w:eastAsia="Times New Roman" w:cstheme="minorHAnsi"/>
                <w:b/>
                <w:bCs/>
                <w:sz w:val="24"/>
                <w:szCs w:val="24"/>
                <w:lang w:eastAsia="es-PE"/>
              </w:rPr>
              <w:t>Tipo de servicio</w:t>
            </w:r>
          </w:p>
        </w:tc>
        <w:tc>
          <w:tcPr>
            <w:tcW w:w="1200" w:type="dxa"/>
            <w:tcBorders>
              <w:top w:val="nil"/>
              <w:left w:val="nil"/>
              <w:bottom w:val="nil"/>
              <w:right w:val="nil"/>
            </w:tcBorders>
            <w:shd w:val="clear" w:color="000000" w:fill="FFFFFF"/>
            <w:vAlign w:val="bottom"/>
            <w:hideMark/>
          </w:tcPr>
          <w:p w14:paraId="683A9A62"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 </w:t>
            </w:r>
          </w:p>
        </w:tc>
        <w:tc>
          <w:tcPr>
            <w:tcW w:w="1260" w:type="dxa"/>
            <w:tcBorders>
              <w:top w:val="nil"/>
              <w:left w:val="nil"/>
              <w:bottom w:val="nil"/>
              <w:right w:val="nil"/>
            </w:tcBorders>
            <w:shd w:val="clear" w:color="000000" w:fill="FFFFFF"/>
            <w:vAlign w:val="bottom"/>
            <w:hideMark/>
          </w:tcPr>
          <w:p w14:paraId="2B419152"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 </w:t>
            </w:r>
          </w:p>
        </w:tc>
      </w:tr>
      <w:tr w:rsidR="00731688" w:rsidRPr="002974BE" w14:paraId="2C14894D" w14:textId="77777777" w:rsidTr="005F269C">
        <w:trPr>
          <w:trHeight w:val="315"/>
          <w:jc w:val="center"/>
        </w:trPr>
        <w:tc>
          <w:tcPr>
            <w:tcW w:w="3080" w:type="dxa"/>
            <w:tcBorders>
              <w:top w:val="nil"/>
              <w:left w:val="nil"/>
              <w:bottom w:val="nil"/>
              <w:right w:val="nil"/>
            </w:tcBorders>
            <w:shd w:val="clear" w:color="000000" w:fill="FFFFFF"/>
            <w:hideMark/>
          </w:tcPr>
          <w:p w14:paraId="3B00ADAC"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Asistencial</w:t>
            </w:r>
          </w:p>
        </w:tc>
        <w:tc>
          <w:tcPr>
            <w:tcW w:w="1200" w:type="dxa"/>
            <w:tcBorders>
              <w:top w:val="nil"/>
              <w:left w:val="nil"/>
              <w:bottom w:val="nil"/>
              <w:right w:val="nil"/>
            </w:tcBorders>
            <w:shd w:val="clear" w:color="000000" w:fill="FFFFFF"/>
            <w:noWrap/>
            <w:hideMark/>
          </w:tcPr>
          <w:p w14:paraId="24136804"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86</w:t>
            </w:r>
          </w:p>
        </w:tc>
        <w:tc>
          <w:tcPr>
            <w:tcW w:w="1260" w:type="dxa"/>
            <w:tcBorders>
              <w:top w:val="nil"/>
              <w:left w:val="nil"/>
              <w:bottom w:val="nil"/>
              <w:right w:val="nil"/>
            </w:tcBorders>
            <w:shd w:val="clear" w:color="000000" w:fill="FFFFFF"/>
            <w:noWrap/>
            <w:hideMark/>
          </w:tcPr>
          <w:p w14:paraId="178A34B4"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52.8%</w:t>
            </w:r>
          </w:p>
        </w:tc>
      </w:tr>
      <w:tr w:rsidR="00731688" w:rsidRPr="002974BE" w14:paraId="20B2EDAC" w14:textId="77777777" w:rsidTr="005F269C">
        <w:trPr>
          <w:trHeight w:val="315"/>
          <w:jc w:val="center"/>
        </w:trPr>
        <w:tc>
          <w:tcPr>
            <w:tcW w:w="3080" w:type="dxa"/>
            <w:tcBorders>
              <w:top w:val="nil"/>
              <w:left w:val="nil"/>
              <w:bottom w:val="nil"/>
              <w:right w:val="nil"/>
            </w:tcBorders>
            <w:shd w:val="clear" w:color="000000" w:fill="FFFFFF"/>
            <w:hideMark/>
          </w:tcPr>
          <w:p w14:paraId="2AE41362"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Administrativo</w:t>
            </w:r>
          </w:p>
        </w:tc>
        <w:tc>
          <w:tcPr>
            <w:tcW w:w="1200" w:type="dxa"/>
            <w:tcBorders>
              <w:top w:val="nil"/>
              <w:left w:val="nil"/>
              <w:bottom w:val="nil"/>
              <w:right w:val="nil"/>
            </w:tcBorders>
            <w:shd w:val="clear" w:color="000000" w:fill="FFFFFF"/>
            <w:noWrap/>
            <w:hideMark/>
          </w:tcPr>
          <w:p w14:paraId="0AC86A3A"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77</w:t>
            </w:r>
          </w:p>
        </w:tc>
        <w:tc>
          <w:tcPr>
            <w:tcW w:w="1260" w:type="dxa"/>
            <w:tcBorders>
              <w:top w:val="nil"/>
              <w:left w:val="nil"/>
              <w:bottom w:val="nil"/>
              <w:right w:val="nil"/>
            </w:tcBorders>
            <w:shd w:val="clear" w:color="000000" w:fill="FFFFFF"/>
            <w:noWrap/>
            <w:hideMark/>
          </w:tcPr>
          <w:p w14:paraId="459FDB75"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47.2%</w:t>
            </w:r>
          </w:p>
        </w:tc>
      </w:tr>
      <w:tr w:rsidR="00731688" w:rsidRPr="002974BE" w14:paraId="23BC8676" w14:textId="77777777" w:rsidTr="005F269C">
        <w:trPr>
          <w:trHeight w:val="315"/>
          <w:jc w:val="center"/>
        </w:trPr>
        <w:tc>
          <w:tcPr>
            <w:tcW w:w="3080" w:type="dxa"/>
            <w:tcBorders>
              <w:top w:val="nil"/>
              <w:left w:val="nil"/>
              <w:bottom w:val="nil"/>
              <w:right w:val="nil"/>
            </w:tcBorders>
            <w:shd w:val="clear" w:color="000000" w:fill="FFFFFF"/>
            <w:hideMark/>
          </w:tcPr>
          <w:p w14:paraId="0B54B4FB" w14:textId="77777777" w:rsidR="00731688" w:rsidRPr="002974BE" w:rsidRDefault="00731688" w:rsidP="001D7F2E">
            <w:pPr>
              <w:spacing w:after="0" w:line="240" w:lineRule="auto"/>
              <w:jc w:val="both"/>
              <w:rPr>
                <w:rFonts w:eastAsia="Times New Roman" w:cstheme="minorHAnsi"/>
                <w:b/>
                <w:bCs/>
                <w:sz w:val="24"/>
                <w:szCs w:val="24"/>
                <w:lang w:eastAsia="es-PE"/>
              </w:rPr>
            </w:pPr>
            <w:r w:rsidRPr="002974BE">
              <w:rPr>
                <w:rFonts w:eastAsia="Times New Roman" w:cstheme="minorHAnsi"/>
                <w:b/>
                <w:bCs/>
                <w:sz w:val="24"/>
                <w:szCs w:val="24"/>
                <w:lang w:eastAsia="es-PE"/>
              </w:rPr>
              <w:t>Grupo sanguíneo</w:t>
            </w:r>
          </w:p>
        </w:tc>
        <w:tc>
          <w:tcPr>
            <w:tcW w:w="1200" w:type="dxa"/>
            <w:tcBorders>
              <w:top w:val="nil"/>
              <w:left w:val="nil"/>
              <w:bottom w:val="nil"/>
              <w:right w:val="nil"/>
            </w:tcBorders>
            <w:shd w:val="clear" w:color="000000" w:fill="FFFFFF"/>
            <w:noWrap/>
            <w:hideMark/>
          </w:tcPr>
          <w:p w14:paraId="4BAFBE53"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 </w:t>
            </w:r>
          </w:p>
        </w:tc>
        <w:tc>
          <w:tcPr>
            <w:tcW w:w="1260" w:type="dxa"/>
            <w:tcBorders>
              <w:top w:val="nil"/>
              <w:left w:val="nil"/>
              <w:bottom w:val="nil"/>
              <w:right w:val="nil"/>
            </w:tcBorders>
            <w:shd w:val="clear" w:color="000000" w:fill="FFFFFF"/>
            <w:noWrap/>
            <w:hideMark/>
          </w:tcPr>
          <w:p w14:paraId="30255862"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 </w:t>
            </w:r>
          </w:p>
        </w:tc>
      </w:tr>
      <w:tr w:rsidR="00731688" w:rsidRPr="002974BE" w14:paraId="6006D0AC" w14:textId="77777777" w:rsidTr="005F269C">
        <w:trPr>
          <w:trHeight w:val="315"/>
          <w:jc w:val="center"/>
        </w:trPr>
        <w:tc>
          <w:tcPr>
            <w:tcW w:w="3080" w:type="dxa"/>
            <w:tcBorders>
              <w:top w:val="nil"/>
              <w:left w:val="nil"/>
              <w:bottom w:val="nil"/>
              <w:right w:val="nil"/>
            </w:tcBorders>
            <w:shd w:val="clear" w:color="000000" w:fill="FFFFFF"/>
            <w:hideMark/>
          </w:tcPr>
          <w:p w14:paraId="127F3510"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O +</w:t>
            </w:r>
          </w:p>
        </w:tc>
        <w:tc>
          <w:tcPr>
            <w:tcW w:w="1200" w:type="dxa"/>
            <w:tcBorders>
              <w:top w:val="nil"/>
              <w:left w:val="nil"/>
              <w:bottom w:val="nil"/>
              <w:right w:val="nil"/>
            </w:tcBorders>
            <w:shd w:val="clear" w:color="000000" w:fill="FFFFFF"/>
            <w:noWrap/>
            <w:hideMark/>
          </w:tcPr>
          <w:p w14:paraId="35235246"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138</w:t>
            </w:r>
          </w:p>
        </w:tc>
        <w:tc>
          <w:tcPr>
            <w:tcW w:w="1260" w:type="dxa"/>
            <w:tcBorders>
              <w:top w:val="nil"/>
              <w:left w:val="nil"/>
              <w:bottom w:val="nil"/>
              <w:right w:val="nil"/>
            </w:tcBorders>
            <w:shd w:val="clear" w:color="000000" w:fill="FFFFFF"/>
            <w:noWrap/>
            <w:hideMark/>
          </w:tcPr>
          <w:p w14:paraId="27180865"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84.7%</w:t>
            </w:r>
          </w:p>
        </w:tc>
      </w:tr>
      <w:tr w:rsidR="00731688" w:rsidRPr="002974BE" w14:paraId="0468B46A" w14:textId="77777777" w:rsidTr="005F269C">
        <w:trPr>
          <w:trHeight w:val="315"/>
          <w:jc w:val="center"/>
        </w:trPr>
        <w:tc>
          <w:tcPr>
            <w:tcW w:w="3080" w:type="dxa"/>
            <w:tcBorders>
              <w:top w:val="nil"/>
              <w:left w:val="nil"/>
              <w:bottom w:val="nil"/>
              <w:right w:val="nil"/>
            </w:tcBorders>
            <w:shd w:val="clear" w:color="000000" w:fill="FFFFFF"/>
            <w:hideMark/>
          </w:tcPr>
          <w:p w14:paraId="0080495B"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A +</w:t>
            </w:r>
          </w:p>
        </w:tc>
        <w:tc>
          <w:tcPr>
            <w:tcW w:w="1200" w:type="dxa"/>
            <w:tcBorders>
              <w:top w:val="nil"/>
              <w:left w:val="nil"/>
              <w:bottom w:val="nil"/>
              <w:right w:val="nil"/>
            </w:tcBorders>
            <w:shd w:val="clear" w:color="000000" w:fill="FFFFFF"/>
            <w:noWrap/>
            <w:hideMark/>
          </w:tcPr>
          <w:p w14:paraId="548AC6A1"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17</w:t>
            </w:r>
          </w:p>
        </w:tc>
        <w:tc>
          <w:tcPr>
            <w:tcW w:w="1260" w:type="dxa"/>
            <w:tcBorders>
              <w:top w:val="nil"/>
              <w:left w:val="nil"/>
              <w:bottom w:val="nil"/>
              <w:right w:val="nil"/>
            </w:tcBorders>
            <w:shd w:val="clear" w:color="000000" w:fill="FFFFFF"/>
            <w:noWrap/>
            <w:hideMark/>
          </w:tcPr>
          <w:p w14:paraId="6AF2EC86"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10.4%</w:t>
            </w:r>
          </w:p>
        </w:tc>
      </w:tr>
      <w:tr w:rsidR="00731688" w:rsidRPr="002974BE" w14:paraId="4FBE6530" w14:textId="77777777" w:rsidTr="005F269C">
        <w:trPr>
          <w:trHeight w:val="315"/>
          <w:jc w:val="center"/>
        </w:trPr>
        <w:tc>
          <w:tcPr>
            <w:tcW w:w="3080" w:type="dxa"/>
            <w:tcBorders>
              <w:top w:val="nil"/>
              <w:left w:val="nil"/>
              <w:bottom w:val="nil"/>
              <w:right w:val="nil"/>
            </w:tcBorders>
            <w:shd w:val="clear" w:color="000000" w:fill="FFFFFF"/>
            <w:hideMark/>
          </w:tcPr>
          <w:p w14:paraId="3FDDF0FE"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B +</w:t>
            </w:r>
          </w:p>
        </w:tc>
        <w:tc>
          <w:tcPr>
            <w:tcW w:w="1200" w:type="dxa"/>
            <w:tcBorders>
              <w:top w:val="nil"/>
              <w:left w:val="nil"/>
              <w:bottom w:val="nil"/>
              <w:right w:val="nil"/>
            </w:tcBorders>
            <w:shd w:val="clear" w:color="000000" w:fill="FFFFFF"/>
            <w:noWrap/>
            <w:hideMark/>
          </w:tcPr>
          <w:p w14:paraId="407319BD"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5</w:t>
            </w:r>
          </w:p>
        </w:tc>
        <w:tc>
          <w:tcPr>
            <w:tcW w:w="1260" w:type="dxa"/>
            <w:tcBorders>
              <w:top w:val="nil"/>
              <w:left w:val="nil"/>
              <w:bottom w:val="nil"/>
              <w:right w:val="nil"/>
            </w:tcBorders>
            <w:shd w:val="clear" w:color="000000" w:fill="FFFFFF"/>
            <w:noWrap/>
            <w:hideMark/>
          </w:tcPr>
          <w:p w14:paraId="1AAF3CDB"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3.1%</w:t>
            </w:r>
          </w:p>
        </w:tc>
      </w:tr>
      <w:tr w:rsidR="00731688" w:rsidRPr="002974BE" w14:paraId="41F16461" w14:textId="77777777" w:rsidTr="005F269C">
        <w:trPr>
          <w:trHeight w:val="315"/>
          <w:jc w:val="center"/>
        </w:trPr>
        <w:tc>
          <w:tcPr>
            <w:tcW w:w="3080" w:type="dxa"/>
            <w:tcBorders>
              <w:top w:val="nil"/>
              <w:left w:val="nil"/>
              <w:bottom w:val="nil"/>
              <w:right w:val="nil"/>
            </w:tcBorders>
            <w:shd w:val="clear" w:color="000000" w:fill="FFFFFF"/>
            <w:hideMark/>
          </w:tcPr>
          <w:p w14:paraId="563CD527"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O -</w:t>
            </w:r>
          </w:p>
        </w:tc>
        <w:tc>
          <w:tcPr>
            <w:tcW w:w="1200" w:type="dxa"/>
            <w:tcBorders>
              <w:top w:val="nil"/>
              <w:left w:val="nil"/>
              <w:bottom w:val="nil"/>
              <w:right w:val="nil"/>
            </w:tcBorders>
            <w:shd w:val="clear" w:color="000000" w:fill="FFFFFF"/>
            <w:noWrap/>
            <w:hideMark/>
          </w:tcPr>
          <w:p w14:paraId="76CA1687"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2</w:t>
            </w:r>
          </w:p>
        </w:tc>
        <w:tc>
          <w:tcPr>
            <w:tcW w:w="1260" w:type="dxa"/>
            <w:tcBorders>
              <w:top w:val="nil"/>
              <w:left w:val="nil"/>
              <w:bottom w:val="nil"/>
              <w:right w:val="nil"/>
            </w:tcBorders>
            <w:shd w:val="clear" w:color="000000" w:fill="FFFFFF"/>
            <w:noWrap/>
            <w:hideMark/>
          </w:tcPr>
          <w:p w14:paraId="41CF1F52"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1.2%</w:t>
            </w:r>
          </w:p>
        </w:tc>
      </w:tr>
      <w:tr w:rsidR="00731688" w:rsidRPr="002974BE" w14:paraId="0C7AA213" w14:textId="77777777" w:rsidTr="005F269C">
        <w:trPr>
          <w:trHeight w:val="315"/>
          <w:jc w:val="center"/>
        </w:trPr>
        <w:tc>
          <w:tcPr>
            <w:tcW w:w="3080" w:type="dxa"/>
            <w:tcBorders>
              <w:top w:val="nil"/>
              <w:left w:val="nil"/>
              <w:bottom w:val="nil"/>
              <w:right w:val="nil"/>
            </w:tcBorders>
            <w:shd w:val="clear" w:color="000000" w:fill="FFFFFF"/>
            <w:hideMark/>
          </w:tcPr>
          <w:p w14:paraId="64A4C40A"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AB +</w:t>
            </w:r>
          </w:p>
        </w:tc>
        <w:tc>
          <w:tcPr>
            <w:tcW w:w="1200" w:type="dxa"/>
            <w:tcBorders>
              <w:top w:val="nil"/>
              <w:left w:val="nil"/>
              <w:bottom w:val="nil"/>
              <w:right w:val="nil"/>
            </w:tcBorders>
            <w:shd w:val="clear" w:color="000000" w:fill="FFFFFF"/>
            <w:noWrap/>
            <w:hideMark/>
          </w:tcPr>
          <w:p w14:paraId="20019591"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1</w:t>
            </w:r>
          </w:p>
        </w:tc>
        <w:tc>
          <w:tcPr>
            <w:tcW w:w="1260" w:type="dxa"/>
            <w:tcBorders>
              <w:top w:val="nil"/>
              <w:left w:val="nil"/>
              <w:bottom w:val="nil"/>
              <w:right w:val="nil"/>
            </w:tcBorders>
            <w:shd w:val="clear" w:color="000000" w:fill="FFFFFF"/>
            <w:noWrap/>
            <w:hideMark/>
          </w:tcPr>
          <w:p w14:paraId="77D39EA9"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0.6%</w:t>
            </w:r>
          </w:p>
        </w:tc>
      </w:tr>
      <w:tr w:rsidR="00731688" w:rsidRPr="002974BE" w14:paraId="6AD68A05" w14:textId="77777777" w:rsidTr="005F269C">
        <w:trPr>
          <w:trHeight w:val="315"/>
          <w:jc w:val="center"/>
        </w:trPr>
        <w:tc>
          <w:tcPr>
            <w:tcW w:w="3080" w:type="dxa"/>
            <w:tcBorders>
              <w:top w:val="nil"/>
              <w:left w:val="nil"/>
              <w:bottom w:val="nil"/>
              <w:right w:val="nil"/>
            </w:tcBorders>
            <w:shd w:val="clear" w:color="000000" w:fill="FFFFFF"/>
            <w:hideMark/>
          </w:tcPr>
          <w:p w14:paraId="57A85CF0" w14:textId="77777777" w:rsidR="00731688" w:rsidRPr="002974BE" w:rsidRDefault="00731688" w:rsidP="001D7F2E">
            <w:pPr>
              <w:spacing w:after="0" w:line="240" w:lineRule="auto"/>
              <w:jc w:val="both"/>
              <w:rPr>
                <w:rFonts w:eastAsia="Times New Roman" w:cstheme="minorHAnsi"/>
                <w:b/>
                <w:bCs/>
                <w:sz w:val="24"/>
                <w:szCs w:val="24"/>
                <w:lang w:eastAsia="es-PE"/>
              </w:rPr>
            </w:pPr>
            <w:r w:rsidRPr="002974BE">
              <w:rPr>
                <w:rFonts w:eastAsia="Times New Roman" w:cstheme="minorHAnsi"/>
                <w:b/>
                <w:bCs/>
                <w:sz w:val="24"/>
                <w:szCs w:val="24"/>
                <w:lang w:eastAsia="es-PE"/>
              </w:rPr>
              <w:t>Presencia de comorbilidad</w:t>
            </w:r>
          </w:p>
        </w:tc>
        <w:tc>
          <w:tcPr>
            <w:tcW w:w="1200" w:type="dxa"/>
            <w:tcBorders>
              <w:top w:val="nil"/>
              <w:left w:val="nil"/>
              <w:bottom w:val="nil"/>
              <w:right w:val="nil"/>
            </w:tcBorders>
            <w:shd w:val="clear" w:color="000000" w:fill="FFFFFF"/>
            <w:noWrap/>
            <w:hideMark/>
          </w:tcPr>
          <w:p w14:paraId="71023934"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 </w:t>
            </w:r>
          </w:p>
        </w:tc>
        <w:tc>
          <w:tcPr>
            <w:tcW w:w="1260" w:type="dxa"/>
            <w:tcBorders>
              <w:top w:val="nil"/>
              <w:left w:val="nil"/>
              <w:bottom w:val="nil"/>
              <w:right w:val="nil"/>
            </w:tcBorders>
            <w:shd w:val="clear" w:color="000000" w:fill="FFFFFF"/>
            <w:noWrap/>
            <w:hideMark/>
          </w:tcPr>
          <w:p w14:paraId="7D596DCF"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 </w:t>
            </w:r>
          </w:p>
        </w:tc>
      </w:tr>
      <w:tr w:rsidR="00731688" w:rsidRPr="002974BE" w14:paraId="4254F784" w14:textId="77777777" w:rsidTr="005F269C">
        <w:trPr>
          <w:trHeight w:val="315"/>
          <w:jc w:val="center"/>
        </w:trPr>
        <w:tc>
          <w:tcPr>
            <w:tcW w:w="3080" w:type="dxa"/>
            <w:tcBorders>
              <w:top w:val="nil"/>
              <w:left w:val="nil"/>
              <w:bottom w:val="nil"/>
              <w:right w:val="nil"/>
            </w:tcBorders>
            <w:shd w:val="clear" w:color="000000" w:fill="FFFFFF"/>
            <w:hideMark/>
          </w:tcPr>
          <w:p w14:paraId="4379CA57"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Si</w:t>
            </w:r>
          </w:p>
        </w:tc>
        <w:tc>
          <w:tcPr>
            <w:tcW w:w="1200" w:type="dxa"/>
            <w:tcBorders>
              <w:top w:val="nil"/>
              <w:left w:val="nil"/>
              <w:bottom w:val="nil"/>
              <w:right w:val="nil"/>
            </w:tcBorders>
            <w:shd w:val="clear" w:color="000000" w:fill="FFFFFF"/>
            <w:noWrap/>
            <w:hideMark/>
          </w:tcPr>
          <w:p w14:paraId="3254546E"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31</w:t>
            </w:r>
          </w:p>
        </w:tc>
        <w:tc>
          <w:tcPr>
            <w:tcW w:w="1260" w:type="dxa"/>
            <w:tcBorders>
              <w:top w:val="nil"/>
              <w:left w:val="nil"/>
              <w:bottom w:val="nil"/>
              <w:right w:val="nil"/>
            </w:tcBorders>
            <w:shd w:val="clear" w:color="000000" w:fill="FFFFFF"/>
            <w:noWrap/>
            <w:hideMark/>
          </w:tcPr>
          <w:p w14:paraId="6837DE38"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19.0%</w:t>
            </w:r>
          </w:p>
        </w:tc>
      </w:tr>
      <w:tr w:rsidR="00731688" w:rsidRPr="002974BE" w14:paraId="22EA8F46" w14:textId="77777777" w:rsidTr="005F269C">
        <w:trPr>
          <w:trHeight w:val="315"/>
          <w:jc w:val="center"/>
        </w:trPr>
        <w:tc>
          <w:tcPr>
            <w:tcW w:w="3080" w:type="dxa"/>
            <w:tcBorders>
              <w:top w:val="nil"/>
              <w:left w:val="nil"/>
              <w:bottom w:val="nil"/>
              <w:right w:val="nil"/>
            </w:tcBorders>
            <w:shd w:val="clear" w:color="000000" w:fill="FFFFFF"/>
            <w:hideMark/>
          </w:tcPr>
          <w:p w14:paraId="50A84F61"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No</w:t>
            </w:r>
          </w:p>
        </w:tc>
        <w:tc>
          <w:tcPr>
            <w:tcW w:w="1200" w:type="dxa"/>
            <w:tcBorders>
              <w:top w:val="nil"/>
              <w:left w:val="nil"/>
              <w:bottom w:val="nil"/>
              <w:right w:val="nil"/>
            </w:tcBorders>
            <w:shd w:val="clear" w:color="000000" w:fill="FFFFFF"/>
            <w:noWrap/>
            <w:hideMark/>
          </w:tcPr>
          <w:p w14:paraId="63FA2091"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132</w:t>
            </w:r>
          </w:p>
        </w:tc>
        <w:tc>
          <w:tcPr>
            <w:tcW w:w="1260" w:type="dxa"/>
            <w:tcBorders>
              <w:top w:val="nil"/>
              <w:left w:val="nil"/>
              <w:bottom w:val="nil"/>
              <w:right w:val="nil"/>
            </w:tcBorders>
            <w:shd w:val="clear" w:color="000000" w:fill="FFFFFF"/>
            <w:noWrap/>
            <w:hideMark/>
          </w:tcPr>
          <w:p w14:paraId="0DC03CD6"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81.0%</w:t>
            </w:r>
          </w:p>
        </w:tc>
      </w:tr>
      <w:tr w:rsidR="00731688" w:rsidRPr="002974BE" w14:paraId="58EC85D2" w14:textId="77777777" w:rsidTr="005F269C">
        <w:trPr>
          <w:trHeight w:val="315"/>
          <w:jc w:val="center"/>
        </w:trPr>
        <w:tc>
          <w:tcPr>
            <w:tcW w:w="3080" w:type="dxa"/>
            <w:tcBorders>
              <w:top w:val="nil"/>
              <w:left w:val="nil"/>
              <w:bottom w:val="nil"/>
              <w:right w:val="nil"/>
            </w:tcBorders>
            <w:shd w:val="clear" w:color="000000" w:fill="FFFFFF"/>
            <w:hideMark/>
          </w:tcPr>
          <w:p w14:paraId="1B872661" w14:textId="77777777" w:rsidR="00731688" w:rsidRPr="002974BE" w:rsidRDefault="00731688" w:rsidP="001D7F2E">
            <w:pPr>
              <w:spacing w:after="0" w:line="240" w:lineRule="auto"/>
              <w:jc w:val="both"/>
              <w:rPr>
                <w:rFonts w:eastAsia="Times New Roman" w:cstheme="minorHAnsi"/>
                <w:b/>
                <w:bCs/>
                <w:sz w:val="24"/>
                <w:szCs w:val="24"/>
                <w:lang w:eastAsia="es-PE"/>
              </w:rPr>
            </w:pPr>
            <w:r w:rsidRPr="002974BE">
              <w:rPr>
                <w:rFonts w:eastAsia="Times New Roman" w:cstheme="minorHAnsi"/>
                <w:b/>
                <w:bCs/>
                <w:sz w:val="24"/>
                <w:szCs w:val="24"/>
                <w:lang w:eastAsia="es-PE"/>
              </w:rPr>
              <w:lastRenderedPageBreak/>
              <w:t>Tipo de comorbilidad</w:t>
            </w:r>
          </w:p>
        </w:tc>
        <w:tc>
          <w:tcPr>
            <w:tcW w:w="1200" w:type="dxa"/>
            <w:tcBorders>
              <w:top w:val="nil"/>
              <w:left w:val="nil"/>
              <w:bottom w:val="nil"/>
              <w:right w:val="nil"/>
            </w:tcBorders>
            <w:shd w:val="clear" w:color="000000" w:fill="FFFFFF"/>
            <w:noWrap/>
            <w:hideMark/>
          </w:tcPr>
          <w:p w14:paraId="2AD828B0"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 </w:t>
            </w:r>
          </w:p>
        </w:tc>
        <w:tc>
          <w:tcPr>
            <w:tcW w:w="1260" w:type="dxa"/>
            <w:tcBorders>
              <w:top w:val="nil"/>
              <w:left w:val="nil"/>
              <w:bottom w:val="nil"/>
              <w:right w:val="nil"/>
            </w:tcBorders>
            <w:shd w:val="clear" w:color="000000" w:fill="FFFFFF"/>
            <w:noWrap/>
            <w:hideMark/>
          </w:tcPr>
          <w:p w14:paraId="419DAC6C"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 </w:t>
            </w:r>
          </w:p>
        </w:tc>
      </w:tr>
      <w:tr w:rsidR="00731688" w:rsidRPr="002974BE" w14:paraId="192001E7" w14:textId="77777777" w:rsidTr="005F269C">
        <w:trPr>
          <w:trHeight w:val="315"/>
          <w:jc w:val="center"/>
        </w:trPr>
        <w:tc>
          <w:tcPr>
            <w:tcW w:w="3080" w:type="dxa"/>
            <w:tcBorders>
              <w:top w:val="nil"/>
              <w:left w:val="nil"/>
              <w:bottom w:val="nil"/>
              <w:right w:val="nil"/>
            </w:tcBorders>
            <w:shd w:val="clear" w:color="000000" w:fill="FFFFFF"/>
            <w:hideMark/>
          </w:tcPr>
          <w:p w14:paraId="04D6BA49"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Presión arterial alta</w:t>
            </w:r>
          </w:p>
        </w:tc>
        <w:tc>
          <w:tcPr>
            <w:tcW w:w="1200" w:type="dxa"/>
            <w:tcBorders>
              <w:top w:val="nil"/>
              <w:left w:val="nil"/>
              <w:bottom w:val="nil"/>
              <w:right w:val="nil"/>
            </w:tcBorders>
            <w:shd w:val="clear" w:color="000000" w:fill="FFFFFF"/>
            <w:noWrap/>
            <w:hideMark/>
          </w:tcPr>
          <w:p w14:paraId="3CB532B3"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9</w:t>
            </w:r>
          </w:p>
        </w:tc>
        <w:tc>
          <w:tcPr>
            <w:tcW w:w="1260" w:type="dxa"/>
            <w:tcBorders>
              <w:top w:val="nil"/>
              <w:left w:val="nil"/>
              <w:bottom w:val="nil"/>
              <w:right w:val="nil"/>
            </w:tcBorders>
            <w:shd w:val="clear" w:color="000000" w:fill="FFFFFF"/>
            <w:noWrap/>
            <w:hideMark/>
          </w:tcPr>
          <w:p w14:paraId="0E66CF01"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5.5%</w:t>
            </w:r>
          </w:p>
        </w:tc>
      </w:tr>
      <w:tr w:rsidR="00731688" w:rsidRPr="002974BE" w14:paraId="6F515738" w14:textId="77777777" w:rsidTr="005F269C">
        <w:trPr>
          <w:trHeight w:val="315"/>
          <w:jc w:val="center"/>
        </w:trPr>
        <w:tc>
          <w:tcPr>
            <w:tcW w:w="3080" w:type="dxa"/>
            <w:tcBorders>
              <w:top w:val="nil"/>
              <w:left w:val="nil"/>
              <w:bottom w:val="nil"/>
              <w:right w:val="nil"/>
            </w:tcBorders>
            <w:shd w:val="clear" w:color="000000" w:fill="FFFFFF"/>
            <w:hideMark/>
          </w:tcPr>
          <w:p w14:paraId="7BF5B8A8"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Obesidad</w:t>
            </w:r>
          </w:p>
        </w:tc>
        <w:tc>
          <w:tcPr>
            <w:tcW w:w="1200" w:type="dxa"/>
            <w:tcBorders>
              <w:top w:val="nil"/>
              <w:left w:val="nil"/>
              <w:bottom w:val="nil"/>
              <w:right w:val="nil"/>
            </w:tcBorders>
            <w:shd w:val="clear" w:color="000000" w:fill="FFFFFF"/>
            <w:noWrap/>
            <w:hideMark/>
          </w:tcPr>
          <w:p w14:paraId="1CB9F8A6"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7</w:t>
            </w:r>
          </w:p>
        </w:tc>
        <w:tc>
          <w:tcPr>
            <w:tcW w:w="1260" w:type="dxa"/>
            <w:tcBorders>
              <w:top w:val="nil"/>
              <w:left w:val="nil"/>
              <w:bottom w:val="nil"/>
              <w:right w:val="nil"/>
            </w:tcBorders>
            <w:shd w:val="clear" w:color="000000" w:fill="FFFFFF"/>
            <w:noWrap/>
            <w:hideMark/>
          </w:tcPr>
          <w:p w14:paraId="2584B646"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4.3%</w:t>
            </w:r>
          </w:p>
        </w:tc>
      </w:tr>
      <w:tr w:rsidR="00731688" w:rsidRPr="002974BE" w14:paraId="1778DDF5" w14:textId="77777777" w:rsidTr="005F269C">
        <w:trPr>
          <w:trHeight w:val="315"/>
          <w:jc w:val="center"/>
        </w:trPr>
        <w:tc>
          <w:tcPr>
            <w:tcW w:w="3080" w:type="dxa"/>
            <w:tcBorders>
              <w:top w:val="nil"/>
              <w:left w:val="nil"/>
              <w:bottom w:val="nil"/>
              <w:right w:val="nil"/>
            </w:tcBorders>
            <w:shd w:val="clear" w:color="000000" w:fill="FFFFFF"/>
            <w:hideMark/>
          </w:tcPr>
          <w:p w14:paraId="1E8BFD9A"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Diabetes</w:t>
            </w:r>
          </w:p>
        </w:tc>
        <w:tc>
          <w:tcPr>
            <w:tcW w:w="1200" w:type="dxa"/>
            <w:tcBorders>
              <w:top w:val="nil"/>
              <w:left w:val="nil"/>
              <w:bottom w:val="nil"/>
              <w:right w:val="nil"/>
            </w:tcBorders>
            <w:shd w:val="clear" w:color="000000" w:fill="FFFFFF"/>
            <w:noWrap/>
            <w:hideMark/>
          </w:tcPr>
          <w:p w14:paraId="7B8CB2F7"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5</w:t>
            </w:r>
          </w:p>
        </w:tc>
        <w:tc>
          <w:tcPr>
            <w:tcW w:w="1260" w:type="dxa"/>
            <w:tcBorders>
              <w:top w:val="nil"/>
              <w:left w:val="nil"/>
              <w:bottom w:val="nil"/>
              <w:right w:val="nil"/>
            </w:tcBorders>
            <w:shd w:val="clear" w:color="000000" w:fill="FFFFFF"/>
            <w:noWrap/>
            <w:hideMark/>
          </w:tcPr>
          <w:p w14:paraId="5FBAAC82"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3.1%</w:t>
            </w:r>
          </w:p>
        </w:tc>
      </w:tr>
      <w:tr w:rsidR="00731688" w:rsidRPr="002974BE" w14:paraId="1CC5880C" w14:textId="77777777" w:rsidTr="005F269C">
        <w:trPr>
          <w:trHeight w:val="315"/>
          <w:jc w:val="center"/>
        </w:trPr>
        <w:tc>
          <w:tcPr>
            <w:tcW w:w="3080" w:type="dxa"/>
            <w:tcBorders>
              <w:top w:val="nil"/>
              <w:left w:val="nil"/>
              <w:bottom w:val="nil"/>
              <w:right w:val="nil"/>
            </w:tcBorders>
            <w:shd w:val="clear" w:color="000000" w:fill="FFFFFF"/>
            <w:hideMark/>
          </w:tcPr>
          <w:p w14:paraId="12E7B49B"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Cáncer</w:t>
            </w:r>
          </w:p>
        </w:tc>
        <w:tc>
          <w:tcPr>
            <w:tcW w:w="1200" w:type="dxa"/>
            <w:tcBorders>
              <w:top w:val="nil"/>
              <w:left w:val="nil"/>
              <w:bottom w:val="nil"/>
              <w:right w:val="nil"/>
            </w:tcBorders>
            <w:shd w:val="clear" w:color="000000" w:fill="FFFFFF"/>
            <w:noWrap/>
            <w:hideMark/>
          </w:tcPr>
          <w:p w14:paraId="5E08656A"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2</w:t>
            </w:r>
          </w:p>
        </w:tc>
        <w:tc>
          <w:tcPr>
            <w:tcW w:w="1260" w:type="dxa"/>
            <w:tcBorders>
              <w:top w:val="nil"/>
              <w:left w:val="nil"/>
              <w:bottom w:val="nil"/>
              <w:right w:val="nil"/>
            </w:tcBorders>
            <w:shd w:val="clear" w:color="000000" w:fill="FFFFFF"/>
            <w:noWrap/>
            <w:hideMark/>
          </w:tcPr>
          <w:p w14:paraId="03277BD0"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1.2%</w:t>
            </w:r>
          </w:p>
        </w:tc>
      </w:tr>
      <w:tr w:rsidR="00731688" w:rsidRPr="002974BE" w14:paraId="7C30F9D9" w14:textId="77777777" w:rsidTr="005F269C">
        <w:trPr>
          <w:trHeight w:val="315"/>
          <w:jc w:val="center"/>
        </w:trPr>
        <w:tc>
          <w:tcPr>
            <w:tcW w:w="3080" w:type="dxa"/>
            <w:tcBorders>
              <w:top w:val="nil"/>
              <w:left w:val="nil"/>
              <w:bottom w:val="single" w:sz="4" w:space="0" w:color="auto"/>
              <w:right w:val="nil"/>
            </w:tcBorders>
            <w:shd w:val="clear" w:color="000000" w:fill="FFFFFF"/>
            <w:hideMark/>
          </w:tcPr>
          <w:p w14:paraId="6100F1A7" w14:textId="77777777" w:rsidR="00731688" w:rsidRPr="002974BE" w:rsidRDefault="00731688" w:rsidP="001D7F2E">
            <w:pPr>
              <w:spacing w:after="0" w:line="240" w:lineRule="auto"/>
              <w:ind w:firstLineChars="200" w:firstLine="480"/>
              <w:jc w:val="both"/>
              <w:rPr>
                <w:rFonts w:eastAsia="Times New Roman" w:cstheme="minorHAnsi"/>
                <w:sz w:val="24"/>
                <w:szCs w:val="24"/>
                <w:lang w:eastAsia="es-PE"/>
              </w:rPr>
            </w:pPr>
            <w:r w:rsidRPr="002974BE">
              <w:rPr>
                <w:rFonts w:eastAsia="Times New Roman" w:cstheme="minorHAnsi"/>
                <w:sz w:val="24"/>
                <w:szCs w:val="24"/>
                <w:lang w:eastAsia="es-PE"/>
              </w:rPr>
              <w:t>Otros</w:t>
            </w:r>
          </w:p>
        </w:tc>
        <w:tc>
          <w:tcPr>
            <w:tcW w:w="1200" w:type="dxa"/>
            <w:tcBorders>
              <w:top w:val="nil"/>
              <w:left w:val="nil"/>
              <w:bottom w:val="single" w:sz="4" w:space="0" w:color="auto"/>
              <w:right w:val="nil"/>
            </w:tcBorders>
            <w:shd w:val="clear" w:color="000000" w:fill="FFFFFF"/>
            <w:noWrap/>
            <w:hideMark/>
          </w:tcPr>
          <w:p w14:paraId="7C437479"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11</w:t>
            </w:r>
          </w:p>
        </w:tc>
        <w:tc>
          <w:tcPr>
            <w:tcW w:w="1260" w:type="dxa"/>
            <w:tcBorders>
              <w:top w:val="nil"/>
              <w:left w:val="nil"/>
              <w:bottom w:val="single" w:sz="4" w:space="0" w:color="auto"/>
              <w:right w:val="nil"/>
            </w:tcBorders>
            <w:shd w:val="clear" w:color="000000" w:fill="FFFFFF"/>
            <w:noWrap/>
            <w:hideMark/>
          </w:tcPr>
          <w:p w14:paraId="42D839DF"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6.7%</w:t>
            </w:r>
          </w:p>
        </w:tc>
      </w:tr>
      <w:tr w:rsidR="00731688" w:rsidRPr="002974BE" w14:paraId="2DA6B354" w14:textId="77777777" w:rsidTr="005F269C">
        <w:trPr>
          <w:trHeight w:val="315"/>
          <w:jc w:val="center"/>
        </w:trPr>
        <w:tc>
          <w:tcPr>
            <w:tcW w:w="3080" w:type="dxa"/>
            <w:tcBorders>
              <w:top w:val="nil"/>
              <w:left w:val="nil"/>
              <w:bottom w:val="nil"/>
              <w:right w:val="nil"/>
            </w:tcBorders>
            <w:shd w:val="clear" w:color="000000" w:fill="FFFFFF"/>
            <w:vAlign w:val="bottom"/>
            <w:hideMark/>
          </w:tcPr>
          <w:p w14:paraId="7DEDF1DD"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RCI: Rango intercuartílico</w:t>
            </w:r>
          </w:p>
        </w:tc>
        <w:tc>
          <w:tcPr>
            <w:tcW w:w="1200" w:type="dxa"/>
            <w:tcBorders>
              <w:top w:val="nil"/>
              <w:left w:val="nil"/>
              <w:bottom w:val="nil"/>
              <w:right w:val="nil"/>
            </w:tcBorders>
            <w:shd w:val="clear" w:color="000000" w:fill="FFFFFF"/>
            <w:noWrap/>
            <w:vAlign w:val="bottom"/>
            <w:hideMark/>
          </w:tcPr>
          <w:p w14:paraId="2C64AB30"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 </w:t>
            </w:r>
          </w:p>
        </w:tc>
        <w:tc>
          <w:tcPr>
            <w:tcW w:w="1260" w:type="dxa"/>
            <w:tcBorders>
              <w:top w:val="nil"/>
              <w:left w:val="nil"/>
              <w:bottom w:val="nil"/>
              <w:right w:val="nil"/>
            </w:tcBorders>
            <w:shd w:val="clear" w:color="000000" w:fill="FFFFFF"/>
            <w:noWrap/>
            <w:vAlign w:val="bottom"/>
            <w:hideMark/>
          </w:tcPr>
          <w:p w14:paraId="2D082CAD" w14:textId="77777777" w:rsidR="00731688" w:rsidRPr="002974BE" w:rsidRDefault="00731688" w:rsidP="001D7F2E">
            <w:pPr>
              <w:spacing w:after="0" w:line="240" w:lineRule="auto"/>
              <w:jc w:val="both"/>
              <w:rPr>
                <w:rFonts w:eastAsia="Times New Roman" w:cstheme="minorHAnsi"/>
                <w:sz w:val="24"/>
                <w:szCs w:val="24"/>
                <w:lang w:eastAsia="es-PE"/>
              </w:rPr>
            </w:pPr>
            <w:r w:rsidRPr="002974BE">
              <w:rPr>
                <w:rFonts w:eastAsia="Times New Roman" w:cstheme="minorHAnsi"/>
                <w:sz w:val="24"/>
                <w:szCs w:val="24"/>
                <w:lang w:eastAsia="es-PE"/>
              </w:rPr>
              <w:t> </w:t>
            </w:r>
          </w:p>
        </w:tc>
      </w:tr>
    </w:tbl>
    <w:p w14:paraId="5D0199BD" w14:textId="77777777" w:rsidR="00731688" w:rsidRPr="002974BE" w:rsidRDefault="00731688" w:rsidP="001D7F2E">
      <w:pPr>
        <w:pStyle w:val="Textoindependiente"/>
        <w:spacing w:before="0" w:after="0" w:line="360" w:lineRule="auto"/>
        <w:jc w:val="both"/>
        <w:rPr>
          <w:rFonts w:cstheme="minorHAnsi"/>
          <w:sz w:val="22"/>
          <w:szCs w:val="22"/>
        </w:rPr>
      </w:pPr>
    </w:p>
    <w:p w14:paraId="2173DE20" w14:textId="77777777" w:rsidR="00731688" w:rsidRPr="002974BE" w:rsidRDefault="00731688" w:rsidP="001D7F2E">
      <w:pPr>
        <w:pStyle w:val="Textoindependiente"/>
        <w:spacing w:before="0" w:after="0" w:line="360" w:lineRule="auto"/>
        <w:jc w:val="both"/>
        <w:rPr>
          <w:rFonts w:cstheme="minorHAnsi"/>
        </w:rPr>
      </w:pPr>
      <w:r w:rsidRPr="002974BE">
        <w:rPr>
          <w:rFonts w:cstheme="minorHAnsi"/>
          <w:sz w:val="22"/>
          <w:szCs w:val="22"/>
        </w:rPr>
        <w:t xml:space="preserve">En relación a las dosis de vacunas contra el SARS-CoV-2, se encontró que la mayor parte del personal recibió 3 dosis (96.3%), sólo 2 colaboradores (1.2%) recibieron 4 dosis de vacunas; Sinopharm es la vacuna con mayor aplicación en su primera y segunda etapa dentro de la institución (96.9%), Pfizer con 1 dosis (92.6%) en su tercera etapa, por otro lado, 4 colaboradores (2.5%) recibieron un total de 3 dosis de </w:t>
      </w:r>
      <w:r w:rsidRPr="002974BE">
        <w:rPr>
          <w:rFonts w:cstheme="minorHAnsi"/>
        </w:rPr>
        <w:t xml:space="preserve">Pfizer y sólo un colaborador (0.6%) recibió 1 dosis de </w:t>
      </w:r>
      <w:proofErr w:type="spellStart"/>
      <w:r w:rsidRPr="002974BE">
        <w:rPr>
          <w:rFonts w:cstheme="minorHAnsi"/>
        </w:rPr>
        <w:t>Astraseneca</w:t>
      </w:r>
      <w:proofErr w:type="spellEnd"/>
      <w:r w:rsidRPr="002974BE">
        <w:rPr>
          <w:rFonts w:cstheme="minorHAnsi"/>
        </w:rPr>
        <w:t xml:space="preserve"> como parte del refuerzo (Tabla 2).</w:t>
      </w:r>
    </w:p>
    <w:p w14:paraId="751D2BC4" w14:textId="77777777" w:rsidR="00731688" w:rsidRPr="002974BE" w:rsidRDefault="00731688" w:rsidP="001D7F2E">
      <w:pPr>
        <w:pStyle w:val="Textoindependiente"/>
        <w:spacing w:before="0" w:after="0" w:line="360" w:lineRule="auto"/>
        <w:jc w:val="both"/>
        <w:rPr>
          <w:rFonts w:cstheme="minorHAnsi"/>
          <w:sz w:val="22"/>
          <w:szCs w:val="22"/>
        </w:rPr>
      </w:pPr>
    </w:p>
    <w:p w14:paraId="7B24FC9B" w14:textId="5FDECE2A" w:rsidR="00731688" w:rsidRPr="0078619B" w:rsidRDefault="00731688" w:rsidP="001D7F2E">
      <w:pPr>
        <w:spacing w:after="0"/>
        <w:jc w:val="both"/>
        <w:rPr>
          <w:rFonts w:cstheme="minorHAnsi"/>
          <w:b/>
          <w:bCs/>
          <w:color w:val="FF0000"/>
          <w:sz w:val="24"/>
          <w:szCs w:val="24"/>
        </w:rPr>
      </w:pPr>
      <w:r w:rsidRPr="002974BE">
        <w:rPr>
          <w:rFonts w:cstheme="minorHAnsi"/>
          <w:b/>
          <w:bCs/>
          <w:sz w:val="24"/>
          <w:szCs w:val="24"/>
        </w:rPr>
        <w:t>Tabla 2. Dosis recibidas y tipos de vacunas</w:t>
      </w:r>
      <w:r w:rsidR="0078619B">
        <w:rPr>
          <w:rFonts w:cstheme="minorHAnsi"/>
          <w:b/>
          <w:bCs/>
          <w:sz w:val="24"/>
          <w:szCs w:val="24"/>
        </w:rPr>
        <w:t xml:space="preserve"> </w:t>
      </w:r>
      <w:proofErr w:type="gramStart"/>
      <w:r w:rsidR="0078619B">
        <w:rPr>
          <w:rFonts w:cstheme="minorHAnsi"/>
          <w:b/>
          <w:bCs/>
          <w:sz w:val="24"/>
          <w:szCs w:val="24"/>
        </w:rPr>
        <w:t xml:space="preserve">- </w:t>
      </w:r>
      <w:r w:rsidR="0078619B">
        <w:rPr>
          <w:rFonts w:cstheme="minorHAnsi"/>
          <w:b/>
          <w:bCs/>
          <w:color w:val="FF0000"/>
          <w:sz w:val="24"/>
          <w:szCs w:val="24"/>
        </w:rPr>
        <w:t xml:space="preserve"> MEJORAR</w:t>
      </w:r>
      <w:proofErr w:type="gramEnd"/>
      <w:r w:rsidR="0078619B">
        <w:rPr>
          <w:rFonts w:cstheme="minorHAnsi"/>
          <w:b/>
          <w:bCs/>
          <w:color w:val="FF0000"/>
          <w:sz w:val="24"/>
          <w:szCs w:val="24"/>
        </w:rPr>
        <w:t xml:space="preserve"> CUADRO </w:t>
      </w:r>
    </w:p>
    <w:tbl>
      <w:tblPr>
        <w:tblW w:w="5051" w:type="dxa"/>
        <w:jc w:val="center"/>
        <w:tblCellMar>
          <w:left w:w="70" w:type="dxa"/>
          <w:right w:w="70" w:type="dxa"/>
        </w:tblCellMar>
        <w:tblLook w:val="04A0" w:firstRow="1" w:lastRow="0" w:firstColumn="1" w:lastColumn="0" w:noHBand="0" w:noVBand="1"/>
      </w:tblPr>
      <w:tblGrid>
        <w:gridCol w:w="2997"/>
        <w:gridCol w:w="961"/>
        <w:gridCol w:w="1093"/>
      </w:tblGrid>
      <w:tr w:rsidR="00731688" w:rsidRPr="002974BE" w14:paraId="1F6262D8" w14:textId="77777777" w:rsidTr="005F269C">
        <w:trPr>
          <w:trHeight w:val="258"/>
          <w:jc w:val="center"/>
        </w:trPr>
        <w:tc>
          <w:tcPr>
            <w:tcW w:w="2997" w:type="dxa"/>
            <w:tcBorders>
              <w:top w:val="single" w:sz="4" w:space="0" w:color="auto"/>
              <w:left w:val="nil"/>
              <w:bottom w:val="single" w:sz="4" w:space="0" w:color="auto"/>
              <w:right w:val="nil"/>
            </w:tcBorders>
            <w:shd w:val="clear" w:color="auto" w:fill="auto"/>
            <w:vAlign w:val="bottom"/>
            <w:hideMark/>
          </w:tcPr>
          <w:p w14:paraId="54FBB0A2"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 </w:t>
            </w:r>
          </w:p>
        </w:tc>
        <w:tc>
          <w:tcPr>
            <w:tcW w:w="961" w:type="dxa"/>
            <w:tcBorders>
              <w:top w:val="single" w:sz="4" w:space="0" w:color="auto"/>
              <w:left w:val="nil"/>
              <w:bottom w:val="single" w:sz="4" w:space="0" w:color="auto"/>
              <w:right w:val="nil"/>
            </w:tcBorders>
            <w:shd w:val="clear" w:color="auto" w:fill="auto"/>
            <w:vAlign w:val="bottom"/>
            <w:hideMark/>
          </w:tcPr>
          <w:p w14:paraId="56B40719"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n=163</w:t>
            </w:r>
          </w:p>
        </w:tc>
        <w:tc>
          <w:tcPr>
            <w:tcW w:w="1093" w:type="dxa"/>
            <w:tcBorders>
              <w:top w:val="single" w:sz="4" w:space="0" w:color="auto"/>
              <w:left w:val="nil"/>
              <w:bottom w:val="single" w:sz="4" w:space="0" w:color="auto"/>
              <w:right w:val="nil"/>
            </w:tcBorders>
            <w:shd w:val="clear" w:color="auto" w:fill="auto"/>
            <w:vAlign w:val="bottom"/>
            <w:hideMark/>
          </w:tcPr>
          <w:p w14:paraId="53813887"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Porcentaje</w:t>
            </w:r>
          </w:p>
        </w:tc>
      </w:tr>
      <w:tr w:rsidR="00731688" w:rsidRPr="002974BE" w14:paraId="1E8D65C3" w14:textId="77777777" w:rsidTr="005F269C">
        <w:trPr>
          <w:trHeight w:val="258"/>
          <w:jc w:val="center"/>
        </w:trPr>
        <w:tc>
          <w:tcPr>
            <w:tcW w:w="2997" w:type="dxa"/>
            <w:tcBorders>
              <w:top w:val="nil"/>
              <w:left w:val="nil"/>
              <w:bottom w:val="nil"/>
              <w:right w:val="nil"/>
            </w:tcBorders>
            <w:shd w:val="clear" w:color="auto" w:fill="auto"/>
            <w:hideMark/>
          </w:tcPr>
          <w:p w14:paraId="1C76BD1B" w14:textId="77777777" w:rsidR="00731688" w:rsidRPr="002974BE" w:rsidRDefault="00731688" w:rsidP="001D7F2E">
            <w:pPr>
              <w:spacing w:after="0" w:line="240" w:lineRule="auto"/>
              <w:jc w:val="both"/>
              <w:rPr>
                <w:rFonts w:eastAsia="Times New Roman" w:cstheme="minorHAnsi"/>
                <w:b/>
                <w:bCs/>
                <w:sz w:val="20"/>
                <w:szCs w:val="20"/>
                <w:lang w:eastAsia="es-PE"/>
              </w:rPr>
            </w:pPr>
            <w:proofErr w:type="gramStart"/>
            <w:r w:rsidRPr="002974BE">
              <w:rPr>
                <w:rFonts w:eastAsia="Times New Roman" w:cstheme="minorHAnsi"/>
                <w:b/>
                <w:bCs/>
                <w:sz w:val="20"/>
                <w:szCs w:val="20"/>
                <w:lang w:eastAsia="es-PE"/>
              </w:rPr>
              <w:t>Total</w:t>
            </w:r>
            <w:proofErr w:type="gramEnd"/>
            <w:r w:rsidRPr="002974BE">
              <w:rPr>
                <w:rFonts w:eastAsia="Times New Roman" w:cstheme="minorHAnsi"/>
                <w:b/>
                <w:bCs/>
                <w:sz w:val="20"/>
                <w:szCs w:val="20"/>
                <w:lang w:eastAsia="es-PE"/>
              </w:rPr>
              <w:t xml:space="preserve"> de dosis recibida</w:t>
            </w:r>
          </w:p>
        </w:tc>
        <w:tc>
          <w:tcPr>
            <w:tcW w:w="961" w:type="dxa"/>
            <w:tcBorders>
              <w:top w:val="nil"/>
              <w:left w:val="nil"/>
              <w:bottom w:val="nil"/>
              <w:right w:val="nil"/>
            </w:tcBorders>
            <w:shd w:val="clear" w:color="auto" w:fill="auto"/>
            <w:noWrap/>
            <w:hideMark/>
          </w:tcPr>
          <w:p w14:paraId="124176F9"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 </w:t>
            </w:r>
          </w:p>
        </w:tc>
        <w:tc>
          <w:tcPr>
            <w:tcW w:w="1093" w:type="dxa"/>
            <w:tcBorders>
              <w:top w:val="nil"/>
              <w:left w:val="nil"/>
              <w:bottom w:val="nil"/>
              <w:right w:val="nil"/>
            </w:tcBorders>
            <w:shd w:val="clear" w:color="auto" w:fill="auto"/>
            <w:noWrap/>
            <w:hideMark/>
          </w:tcPr>
          <w:p w14:paraId="747DF0D7"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 </w:t>
            </w:r>
          </w:p>
        </w:tc>
      </w:tr>
      <w:tr w:rsidR="00731688" w:rsidRPr="002974BE" w14:paraId="320DF5ED" w14:textId="77777777" w:rsidTr="005F269C">
        <w:trPr>
          <w:trHeight w:val="258"/>
          <w:jc w:val="center"/>
        </w:trPr>
        <w:tc>
          <w:tcPr>
            <w:tcW w:w="2997" w:type="dxa"/>
            <w:tcBorders>
              <w:top w:val="nil"/>
              <w:left w:val="nil"/>
              <w:bottom w:val="nil"/>
              <w:right w:val="nil"/>
            </w:tcBorders>
            <w:shd w:val="clear" w:color="auto" w:fill="auto"/>
            <w:hideMark/>
          </w:tcPr>
          <w:p w14:paraId="3185B4D8"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1 dosis</w:t>
            </w:r>
          </w:p>
        </w:tc>
        <w:tc>
          <w:tcPr>
            <w:tcW w:w="961" w:type="dxa"/>
            <w:tcBorders>
              <w:top w:val="nil"/>
              <w:left w:val="nil"/>
              <w:bottom w:val="nil"/>
              <w:right w:val="nil"/>
            </w:tcBorders>
            <w:shd w:val="clear" w:color="auto" w:fill="auto"/>
            <w:noWrap/>
            <w:hideMark/>
          </w:tcPr>
          <w:p w14:paraId="7177957D"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0</w:t>
            </w:r>
          </w:p>
        </w:tc>
        <w:tc>
          <w:tcPr>
            <w:tcW w:w="1093" w:type="dxa"/>
            <w:tcBorders>
              <w:top w:val="nil"/>
              <w:left w:val="nil"/>
              <w:bottom w:val="nil"/>
              <w:right w:val="nil"/>
            </w:tcBorders>
            <w:shd w:val="clear" w:color="auto" w:fill="auto"/>
            <w:noWrap/>
            <w:hideMark/>
          </w:tcPr>
          <w:p w14:paraId="13AEC025"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0.0%</w:t>
            </w:r>
          </w:p>
        </w:tc>
      </w:tr>
      <w:tr w:rsidR="00731688" w:rsidRPr="002974BE" w14:paraId="5ECD0546" w14:textId="77777777" w:rsidTr="005F269C">
        <w:trPr>
          <w:trHeight w:val="258"/>
          <w:jc w:val="center"/>
        </w:trPr>
        <w:tc>
          <w:tcPr>
            <w:tcW w:w="2997" w:type="dxa"/>
            <w:tcBorders>
              <w:top w:val="nil"/>
              <w:left w:val="nil"/>
              <w:bottom w:val="nil"/>
              <w:right w:val="nil"/>
            </w:tcBorders>
            <w:shd w:val="clear" w:color="auto" w:fill="auto"/>
            <w:hideMark/>
          </w:tcPr>
          <w:p w14:paraId="5CA05E90"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2 dosis</w:t>
            </w:r>
          </w:p>
        </w:tc>
        <w:tc>
          <w:tcPr>
            <w:tcW w:w="961" w:type="dxa"/>
            <w:tcBorders>
              <w:top w:val="nil"/>
              <w:left w:val="nil"/>
              <w:bottom w:val="nil"/>
              <w:right w:val="nil"/>
            </w:tcBorders>
            <w:shd w:val="clear" w:color="auto" w:fill="auto"/>
            <w:noWrap/>
            <w:hideMark/>
          </w:tcPr>
          <w:p w14:paraId="0F588F82"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4</w:t>
            </w:r>
          </w:p>
        </w:tc>
        <w:tc>
          <w:tcPr>
            <w:tcW w:w="1093" w:type="dxa"/>
            <w:tcBorders>
              <w:top w:val="nil"/>
              <w:left w:val="nil"/>
              <w:bottom w:val="nil"/>
              <w:right w:val="nil"/>
            </w:tcBorders>
            <w:shd w:val="clear" w:color="auto" w:fill="auto"/>
            <w:noWrap/>
            <w:hideMark/>
          </w:tcPr>
          <w:p w14:paraId="538635DB"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2.5%</w:t>
            </w:r>
          </w:p>
        </w:tc>
      </w:tr>
      <w:tr w:rsidR="00731688" w:rsidRPr="002974BE" w14:paraId="6118866C" w14:textId="77777777" w:rsidTr="005F269C">
        <w:trPr>
          <w:trHeight w:val="258"/>
          <w:jc w:val="center"/>
        </w:trPr>
        <w:tc>
          <w:tcPr>
            <w:tcW w:w="2997" w:type="dxa"/>
            <w:tcBorders>
              <w:top w:val="nil"/>
              <w:left w:val="nil"/>
              <w:bottom w:val="nil"/>
              <w:right w:val="nil"/>
            </w:tcBorders>
            <w:shd w:val="clear" w:color="auto" w:fill="auto"/>
            <w:hideMark/>
          </w:tcPr>
          <w:p w14:paraId="7A502BC9"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3 dosis</w:t>
            </w:r>
          </w:p>
        </w:tc>
        <w:tc>
          <w:tcPr>
            <w:tcW w:w="961" w:type="dxa"/>
            <w:tcBorders>
              <w:top w:val="nil"/>
              <w:left w:val="nil"/>
              <w:bottom w:val="nil"/>
              <w:right w:val="nil"/>
            </w:tcBorders>
            <w:shd w:val="clear" w:color="auto" w:fill="auto"/>
            <w:noWrap/>
            <w:hideMark/>
          </w:tcPr>
          <w:p w14:paraId="70ACCAA8"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157</w:t>
            </w:r>
          </w:p>
        </w:tc>
        <w:tc>
          <w:tcPr>
            <w:tcW w:w="1093" w:type="dxa"/>
            <w:tcBorders>
              <w:top w:val="nil"/>
              <w:left w:val="nil"/>
              <w:bottom w:val="nil"/>
              <w:right w:val="nil"/>
            </w:tcBorders>
            <w:shd w:val="clear" w:color="auto" w:fill="auto"/>
            <w:noWrap/>
            <w:hideMark/>
          </w:tcPr>
          <w:p w14:paraId="2FE78CFD"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96.3%</w:t>
            </w:r>
          </w:p>
        </w:tc>
      </w:tr>
      <w:tr w:rsidR="00731688" w:rsidRPr="002974BE" w14:paraId="65589FBA" w14:textId="77777777" w:rsidTr="005F269C">
        <w:trPr>
          <w:trHeight w:val="258"/>
          <w:jc w:val="center"/>
        </w:trPr>
        <w:tc>
          <w:tcPr>
            <w:tcW w:w="2997" w:type="dxa"/>
            <w:tcBorders>
              <w:top w:val="nil"/>
              <w:left w:val="nil"/>
              <w:bottom w:val="nil"/>
              <w:right w:val="nil"/>
            </w:tcBorders>
            <w:shd w:val="clear" w:color="auto" w:fill="auto"/>
            <w:hideMark/>
          </w:tcPr>
          <w:p w14:paraId="04E9C623"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4 dosis</w:t>
            </w:r>
          </w:p>
        </w:tc>
        <w:tc>
          <w:tcPr>
            <w:tcW w:w="961" w:type="dxa"/>
            <w:tcBorders>
              <w:top w:val="nil"/>
              <w:left w:val="nil"/>
              <w:bottom w:val="nil"/>
              <w:right w:val="nil"/>
            </w:tcBorders>
            <w:shd w:val="clear" w:color="auto" w:fill="auto"/>
            <w:noWrap/>
            <w:hideMark/>
          </w:tcPr>
          <w:p w14:paraId="1762EB95"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2</w:t>
            </w:r>
          </w:p>
        </w:tc>
        <w:tc>
          <w:tcPr>
            <w:tcW w:w="1093" w:type="dxa"/>
            <w:tcBorders>
              <w:top w:val="nil"/>
              <w:left w:val="nil"/>
              <w:bottom w:val="nil"/>
              <w:right w:val="nil"/>
            </w:tcBorders>
            <w:shd w:val="clear" w:color="auto" w:fill="auto"/>
            <w:noWrap/>
            <w:hideMark/>
          </w:tcPr>
          <w:p w14:paraId="48F475D1"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1.2%</w:t>
            </w:r>
          </w:p>
        </w:tc>
      </w:tr>
      <w:tr w:rsidR="00731688" w:rsidRPr="002974BE" w14:paraId="6469D482" w14:textId="77777777" w:rsidTr="005F269C">
        <w:trPr>
          <w:trHeight w:val="258"/>
          <w:jc w:val="center"/>
        </w:trPr>
        <w:tc>
          <w:tcPr>
            <w:tcW w:w="2997" w:type="dxa"/>
            <w:tcBorders>
              <w:top w:val="nil"/>
              <w:left w:val="nil"/>
              <w:bottom w:val="nil"/>
              <w:right w:val="nil"/>
            </w:tcBorders>
            <w:shd w:val="clear" w:color="auto" w:fill="auto"/>
            <w:hideMark/>
          </w:tcPr>
          <w:p w14:paraId="13F48361"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Sinopharm</w:t>
            </w:r>
          </w:p>
        </w:tc>
        <w:tc>
          <w:tcPr>
            <w:tcW w:w="961" w:type="dxa"/>
            <w:tcBorders>
              <w:top w:val="nil"/>
              <w:left w:val="nil"/>
              <w:bottom w:val="nil"/>
              <w:right w:val="nil"/>
            </w:tcBorders>
            <w:shd w:val="clear" w:color="auto" w:fill="auto"/>
            <w:noWrap/>
            <w:hideMark/>
          </w:tcPr>
          <w:p w14:paraId="2660EDCA" w14:textId="77777777" w:rsidR="00731688" w:rsidRPr="002974BE" w:rsidRDefault="00731688" w:rsidP="001D7F2E">
            <w:pPr>
              <w:spacing w:after="0" w:line="240" w:lineRule="auto"/>
              <w:jc w:val="both"/>
              <w:rPr>
                <w:rFonts w:eastAsia="Times New Roman" w:cstheme="minorHAnsi"/>
                <w:b/>
                <w:bCs/>
                <w:sz w:val="20"/>
                <w:szCs w:val="20"/>
                <w:lang w:eastAsia="es-PE"/>
              </w:rPr>
            </w:pPr>
          </w:p>
        </w:tc>
        <w:tc>
          <w:tcPr>
            <w:tcW w:w="1093" w:type="dxa"/>
            <w:tcBorders>
              <w:top w:val="nil"/>
              <w:left w:val="nil"/>
              <w:bottom w:val="nil"/>
              <w:right w:val="nil"/>
            </w:tcBorders>
            <w:shd w:val="clear" w:color="auto" w:fill="auto"/>
            <w:noWrap/>
            <w:hideMark/>
          </w:tcPr>
          <w:p w14:paraId="6F8F3825" w14:textId="77777777" w:rsidR="00731688" w:rsidRPr="002974BE" w:rsidRDefault="00731688" w:rsidP="001D7F2E">
            <w:pPr>
              <w:spacing w:after="0" w:line="240" w:lineRule="auto"/>
              <w:jc w:val="both"/>
              <w:rPr>
                <w:rFonts w:eastAsia="Times New Roman" w:cstheme="minorHAnsi"/>
                <w:sz w:val="20"/>
                <w:szCs w:val="20"/>
                <w:lang w:eastAsia="es-PE"/>
              </w:rPr>
            </w:pPr>
          </w:p>
        </w:tc>
      </w:tr>
      <w:tr w:rsidR="00731688" w:rsidRPr="002974BE" w14:paraId="3CE0EB12" w14:textId="77777777" w:rsidTr="005F269C">
        <w:trPr>
          <w:trHeight w:val="258"/>
          <w:jc w:val="center"/>
        </w:trPr>
        <w:tc>
          <w:tcPr>
            <w:tcW w:w="2997" w:type="dxa"/>
            <w:tcBorders>
              <w:top w:val="nil"/>
              <w:left w:val="nil"/>
              <w:bottom w:val="nil"/>
              <w:right w:val="nil"/>
            </w:tcBorders>
            <w:shd w:val="clear" w:color="auto" w:fill="auto"/>
            <w:hideMark/>
          </w:tcPr>
          <w:p w14:paraId="4B0A5CD0"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0 dosis</w:t>
            </w:r>
          </w:p>
        </w:tc>
        <w:tc>
          <w:tcPr>
            <w:tcW w:w="961" w:type="dxa"/>
            <w:tcBorders>
              <w:top w:val="nil"/>
              <w:left w:val="nil"/>
              <w:bottom w:val="nil"/>
              <w:right w:val="nil"/>
            </w:tcBorders>
            <w:shd w:val="clear" w:color="auto" w:fill="auto"/>
            <w:noWrap/>
            <w:hideMark/>
          </w:tcPr>
          <w:p w14:paraId="67976C61"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4</w:t>
            </w:r>
          </w:p>
        </w:tc>
        <w:tc>
          <w:tcPr>
            <w:tcW w:w="1093" w:type="dxa"/>
            <w:tcBorders>
              <w:top w:val="nil"/>
              <w:left w:val="nil"/>
              <w:bottom w:val="nil"/>
              <w:right w:val="nil"/>
            </w:tcBorders>
            <w:shd w:val="clear" w:color="auto" w:fill="auto"/>
            <w:noWrap/>
            <w:hideMark/>
          </w:tcPr>
          <w:p w14:paraId="3725B6C1"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2.5%</w:t>
            </w:r>
          </w:p>
        </w:tc>
      </w:tr>
      <w:tr w:rsidR="00731688" w:rsidRPr="002974BE" w14:paraId="1DD58108" w14:textId="77777777" w:rsidTr="005F269C">
        <w:trPr>
          <w:trHeight w:val="258"/>
          <w:jc w:val="center"/>
        </w:trPr>
        <w:tc>
          <w:tcPr>
            <w:tcW w:w="2997" w:type="dxa"/>
            <w:tcBorders>
              <w:top w:val="nil"/>
              <w:left w:val="nil"/>
              <w:bottom w:val="nil"/>
              <w:right w:val="nil"/>
            </w:tcBorders>
            <w:shd w:val="clear" w:color="auto" w:fill="auto"/>
            <w:hideMark/>
          </w:tcPr>
          <w:p w14:paraId="1BA6ED07"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2 dosis</w:t>
            </w:r>
          </w:p>
        </w:tc>
        <w:tc>
          <w:tcPr>
            <w:tcW w:w="961" w:type="dxa"/>
            <w:tcBorders>
              <w:top w:val="nil"/>
              <w:left w:val="nil"/>
              <w:bottom w:val="nil"/>
              <w:right w:val="nil"/>
            </w:tcBorders>
            <w:shd w:val="clear" w:color="auto" w:fill="auto"/>
            <w:noWrap/>
            <w:hideMark/>
          </w:tcPr>
          <w:p w14:paraId="6DDFF710"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158</w:t>
            </w:r>
          </w:p>
        </w:tc>
        <w:tc>
          <w:tcPr>
            <w:tcW w:w="1093" w:type="dxa"/>
            <w:tcBorders>
              <w:top w:val="nil"/>
              <w:left w:val="nil"/>
              <w:bottom w:val="nil"/>
              <w:right w:val="nil"/>
            </w:tcBorders>
            <w:shd w:val="clear" w:color="auto" w:fill="auto"/>
            <w:noWrap/>
            <w:hideMark/>
          </w:tcPr>
          <w:p w14:paraId="441612A1"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96.9%</w:t>
            </w:r>
          </w:p>
        </w:tc>
      </w:tr>
      <w:tr w:rsidR="00731688" w:rsidRPr="002974BE" w14:paraId="54BE1F0A" w14:textId="77777777" w:rsidTr="005F269C">
        <w:trPr>
          <w:trHeight w:val="258"/>
          <w:jc w:val="center"/>
        </w:trPr>
        <w:tc>
          <w:tcPr>
            <w:tcW w:w="2997" w:type="dxa"/>
            <w:tcBorders>
              <w:top w:val="nil"/>
              <w:left w:val="nil"/>
              <w:bottom w:val="nil"/>
              <w:right w:val="nil"/>
            </w:tcBorders>
            <w:shd w:val="clear" w:color="auto" w:fill="auto"/>
            <w:hideMark/>
          </w:tcPr>
          <w:p w14:paraId="22C3E1E1"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3 dosis</w:t>
            </w:r>
          </w:p>
        </w:tc>
        <w:tc>
          <w:tcPr>
            <w:tcW w:w="961" w:type="dxa"/>
            <w:tcBorders>
              <w:top w:val="nil"/>
              <w:left w:val="nil"/>
              <w:bottom w:val="nil"/>
              <w:right w:val="nil"/>
            </w:tcBorders>
            <w:shd w:val="clear" w:color="auto" w:fill="auto"/>
            <w:noWrap/>
            <w:hideMark/>
          </w:tcPr>
          <w:p w14:paraId="4FBD43A3"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w:t>
            </w:r>
          </w:p>
        </w:tc>
        <w:tc>
          <w:tcPr>
            <w:tcW w:w="1093" w:type="dxa"/>
            <w:tcBorders>
              <w:top w:val="nil"/>
              <w:left w:val="nil"/>
              <w:bottom w:val="nil"/>
              <w:right w:val="nil"/>
            </w:tcBorders>
            <w:shd w:val="clear" w:color="auto" w:fill="auto"/>
            <w:noWrap/>
            <w:hideMark/>
          </w:tcPr>
          <w:p w14:paraId="2AD8A852"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0.6%</w:t>
            </w:r>
          </w:p>
        </w:tc>
      </w:tr>
      <w:tr w:rsidR="00731688" w:rsidRPr="002974BE" w14:paraId="56365E26" w14:textId="77777777" w:rsidTr="005F269C">
        <w:trPr>
          <w:trHeight w:val="258"/>
          <w:jc w:val="center"/>
        </w:trPr>
        <w:tc>
          <w:tcPr>
            <w:tcW w:w="2997" w:type="dxa"/>
            <w:tcBorders>
              <w:top w:val="nil"/>
              <w:left w:val="nil"/>
              <w:bottom w:val="nil"/>
              <w:right w:val="nil"/>
            </w:tcBorders>
            <w:shd w:val="clear" w:color="auto" w:fill="auto"/>
            <w:hideMark/>
          </w:tcPr>
          <w:p w14:paraId="1CB9A6E4"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Pfizer</w:t>
            </w:r>
          </w:p>
        </w:tc>
        <w:tc>
          <w:tcPr>
            <w:tcW w:w="961" w:type="dxa"/>
            <w:tcBorders>
              <w:top w:val="nil"/>
              <w:left w:val="nil"/>
              <w:bottom w:val="nil"/>
              <w:right w:val="nil"/>
            </w:tcBorders>
            <w:shd w:val="clear" w:color="auto" w:fill="auto"/>
            <w:noWrap/>
            <w:hideMark/>
          </w:tcPr>
          <w:p w14:paraId="19442DA8" w14:textId="77777777" w:rsidR="00731688" w:rsidRPr="002974BE" w:rsidRDefault="00731688" w:rsidP="001D7F2E">
            <w:pPr>
              <w:spacing w:after="0" w:line="240" w:lineRule="auto"/>
              <w:jc w:val="both"/>
              <w:rPr>
                <w:rFonts w:eastAsia="Times New Roman" w:cstheme="minorHAnsi"/>
                <w:b/>
                <w:bCs/>
                <w:sz w:val="20"/>
                <w:szCs w:val="20"/>
                <w:lang w:eastAsia="es-PE"/>
              </w:rPr>
            </w:pPr>
          </w:p>
        </w:tc>
        <w:tc>
          <w:tcPr>
            <w:tcW w:w="1093" w:type="dxa"/>
            <w:tcBorders>
              <w:top w:val="nil"/>
              <w:left w:val="nil"/>
              <w:bottom w:val="nil"/>
              <w:right w:val="nil"/>
            </w:tcBorders>
            <w:shd w:val="clear" w:color="auto" w:fill="auto"/>
            <w:noWrap/>
            <w:hideMark/>
          </w:tcPr>
          <w:p w14:paraId="67983BAE" w14:textId="77777777" w:rsidR="00731688" w:rsidRPr="002974BE" w:rsidRDefault="00731688" w:rsidP="001D7F2E">
            <w:pPr>
              <w:spacing w:after="0" w:line="240" w:lineRule="auto"/>
              <w:jc w:val="both"/>
              <w:rPr>
                <w:rFonts w:eastAsia="Times New Roman" w:cstheme="minorHAnsi"/>
                <w:sz w:val="20"/>
                <w:szCs w:val="20"/>
                <w:lang w:eastAsia="es-PE"/>
              </w:rPr>
            </w:pPr>
          </w:p>
        </w:tc>
      </w:tr>
      <w:tr w:rsidR="00731688" w:rsidRPr="002974BE" w14:paraId="5B791E83" w14:textId="77777777" w:rsidTr="005F269C">
        <w:trPr>
          <w:trHeight w:val="258"/>
          <w:jc w:val="center"/>
        </w:trPr>
        <w:tc>
          <w:tcPr>
            <w:tcW w:w="2997" w:type="dxa"/>
            <w:tcBorders>
              <w:top w:val="nil"/>
              <w:left w:val="nil"/>
              <w:bottom w:val="nil"/>
              <w:right w:val="nil"/>
            </w:tcBorders>
            <w:shd w:val="clear" w:color="auto" w:fill="auto"/>
            <w:hideMark/>
          </w:tcPr>
          <w:p w14:paraId="7EC6ACC5"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0 dosis</w:t>
            </w:r>
          </w:p>
        </w:tc>
        <w:tc>
          <w:tcPr>
            <w:tcW w:w="961" w:type="dxa"/>
            <w:tcBorders>
              <w:top w:val="nil"/>
              <w:left w:val="nil"/>
              <w:bottom w:val="nil"/>
              <w:right w:val="nil"/>
            </w:tcBorders>
            <w:shd w:val="clear" w:color="auto" w:fill="auto"/>
            <w:noWrap/>
            <w:hideMark/>
          </w:tcPr>
          <w:p w14:paraId="26DF0105"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6</w:t>
            </w:r>
          </w:p>
        </w:tc>
        <w:tc>
          <w:tcPr>
            <w:tcW w:w="1093" w:type="dxa"/>
            <w:tcBorders>
              <w:top w:val="nil"/>
              <w:left w:val="nil"/>
              <w:bottom w:val="nil"/>
              <w:right w:val="nil"/>
            </w:tcBorders>
            <w:shd w:val="clear" w:color="auto" w:fill="auto"/>
            <w:noWrap/>
            <w:hideMark/>
          </w:tcPr>
          <w:p w14:paraId="5436F59B"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3.7%</w:t>
            </w:r>
          </w:p>
        </w:tc>
      </w:tr>
      <w:tr w:rsidR="00731688" w:rsidRPr="002974BE" w14:paraId="09FA05D9" w14:textId="77777777" w:rsidTr="005F269C">
        <w:trPr>
          <w:trHeight w:val="258"/>
          <w:jc w:val="center"/>
        </w:trPr>
        <w:tc>
          <w:tcPr>
            <w:tcW w:w="2997" w:type="dxa"/>
            <w:tcBorders>
              <w:top w:val="nil"/>
              <w:left w:val="nil"/>
              <w:bottom w:val="nil"/>
              <w:right w:val="nil"/>
            </w:tcBorders>
            <w:shd w:val="clear" w:color="auto" w:fill="auto"/>
            <w:hideMark/>
          </w:tcPr>
          <w:p w14:paraId="5094744F"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1 dosis</w:t>
            </w:r>
          </w:p>
        </w:tc>
        <w:tc>
          <w:tcPr>
            <w:tcW w:w="961" w:type="dxa"/>
            <w:tcBorders>
              <w:top w:val="nil"/>
              <w:left w:val="nil"/>
              <w:bottom w:val="nil"/>
              <w:right w:val="nil"/>
            </w:tcBorders>
            <w:shd w:val="clear" w:color="auto" w:fill="auto"/>
            <w:noWrap/>
            <w:hideMark/>
          </w:tcPr>
          <w:p w14:paraId="6A3EEA0A"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151</w:t>
            </w:r>
          </w:p>
        </w:tc>
        <w:tc>
          <w:tcPr>
            <w:tcW w:w="1093" w:type="dxa"/>
            <w:tcBorders>
              <w:top w:val="nil"/>
              <w:left w:val="nil"/>
              <w:bottom w:val="nil"/>
              <w:right w:val="nil"/>
            </w:tcBorders>
            <w:shd w:val="clear" w:color="auto" w:fill="auto"/>
            <w:noWrap/>
            <w:hideMark/>
          </w:tcPr>
          <w:p w14:paraId="0AA57EB1"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92.6%</w:t>
            </w:r>
          </w:p>
        </w:tc>
      </w:tr>
      <w:tr w:rsidR="00731688" w:rsidRPr="002974BE" w14:paraId="789B560C" w14:textId="77777777" w:rsidTr="005F269C">
        <w:trPr>
          <w:trHeight w:val="258"/>
          <w:jc w:val="center"/>
        </w:trPr>
        <w:tc>
          <w:tcPr>
            <w:tcW w:w="2997" w:type="dxa"/>
            <w:tcBorders>
              <w:top w:val="nil"/>
              <w:left w:val="nil"/>
              <w:bottom w:val="nil"/>
              <w:right w:val="nil"/>
            </w:tcBorders>
            <w:shd w:val="clear" w:color="auto" w:fill="auto"/>
            <w:hideMark/>
          </w:tcPr>
          <w:p w14:paraId="57BF1C7D"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2 dosis</w:t>
            </w:r>
          </w:p>
        </w:tc>
        <w:tc>
          <w:tcPr>
            <w:tcW w:w="961" w:type="dxa"/>
            <w:tcBorders>
              <w:top w:val="nil"/>
              <w:left w:val="nil"/>
              <w:bottom w:val="nil"/>
              <w:right w:val="nil"/>
            </w:tcBorders>
            <w:shd w:val="clear" w:color="auto" w:fill="auto"/>
            <w:noWrap/>
            <w:hideMark/>
          </w:tcPr>
          <w:p w14:paraId="59B4CC43"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2</w:t>
            </w:r>
          </w:p>
        </w:tc>
        <w:tc>
          <w:tcPr>
            <w:tcW w:w="1093" w:type="dxa"/>
            <w:tcBorders>
              <w:top w:val="nil"/>
              <w:left w:val="nil"/>
              <w:bottom w:val="nil"/>
              <w:right w:val="nil"/>
            </w:tcBorders>
            <w:shd w:val="clear" w:color="auto" w:fill="auto"/>
            <w:noWrap/>
            <w:hideMark/>
          </w:tcPr>
          <w:p w14:paraId="080D12EA"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1.2%</w:t>
            </w:r>
          </w:p>
        </w:tc>
      </w:tr>
      <w:tr w:rsidR="00731688" w:rsidRPr="002974BE" w14:paraId="4CF187F6" w14:textId="77777777" w:rsidTr="005F269C">
        <w:trPr>
          <w:trHeight w:val="258"/>
          <w:jc w:val="center"/>
        </w:trPr>
        <w:tc>
          <w:tcPr>
            <w:tcW w:w="2997" w:type="dxa"/>
            <w:tcBorders>
              <w:top w:val="nil"/>
              <w:left w:val="nil"/>
              <w:bottom w:val="nil"/>
              <w:right w:val="nil"/>
            </w:tcBorders>
            <w:shd w:val="clear" w:color="auto" w:fill="auto"/>
            <w:hideMark/>
          </w:tcPr>
          <w:p w14:paraId="7A410FA7"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3 dosis</w:t>
            </w:r>
          </w:p>
        </w:tc>
        <w:tc>
          <w:tcPr>
            <w:tcW w:w="961" w:type="dxa"/>
            <w:tcBorders>
              <w:top w:val="nil"/>
              <w:left w:val="nil"/>
              <w:bottom w:val="nil"/>
              <w:right w:val="nil"/>
            </w:tcBorders>
            <w:shd w:val="clear" w:color="auto" w:fill="auto"/>
            <w:noWrap/>
            <w:hideMark/>
          </w:tcPr>
          <w:p w14:paraId="2D027F44"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4</w:t>
            </w:r>
          </w:p>
        </w:tc>
        <w:tc>
          <w:tcPr>
            <w:tcW w:w="1093" w:type="dxa"/>
            <w:tcBorders>
              <w:top w:val="nil"/>
              <w:left w:val="nil"/>
              <w:bottom w:val="nil"/>
              <w:right w:val="nil"/>
            </w:tcBorders>
            <w:shd w:val="clear" w:color="auto" w:fill="auto"/>
            <w:noWrap/>
            <w:hideMark/>
          </w:tcPr>
          <w:p w14:paraId="53D92872"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2.5%</w:t>
            </w:r>
          </w:p>
        </w:tc>
      </w:tr>
      <w:tr w:rsidR="00731688" w:rsidRPr="002974BE" w14:paraId="7F2D6D0C" w14:textId="77777777" w:rsidTr="005F269C">
        <w:trPr>
          <w:trHeight w:val="258"/>
          <w:jc w:val="center"/>
        </w:trPr>
        <w:tc>
          <w:tcPr>
            <w:tcW w:w="2997" w:type="dxa"/>
            <w:tcBorders>
              <w:top w:val="nil"/>
              <w:left w:val="nil"/>
              <w:bottom w:val="nil"/>
              <w:right w:val="nil"/>
            </w:tcBorders>
            <w:shd w:val="clear" w:color="auto" w:fill="auto"/>
            <w:hideMark/>
          </w:tcPr>
          <w:p w14:paraId="68F9CD71" w14:textId="77777777" w:rsidR="00731688" w:rsidRPr="002974BE" w:rsidRDefault="00731688" w:rsidP="001D7F2E">
            <w:pPr>
              <w:spacing w:after="0" w:line="240" w:lineRule="auto"/>
              <w:jc w:val="both"/>
              <w:rPr>
                <w:rFonts w:eastAsia="Times New Roman" w:cstheme="minorHAnsi"/>
                <w:b/>
                <w:bCs/>
                <w:sz w:val="20"/>
                <w:szCs w:val="20"/>
                <w:lang w:eastAsia="es-PE"/>
              </w:rPr>
            </w:pPr>
            <w:proofErr w:type="spellStart"/>
            <w:r w:rsidRPr="002974BE">
              <w:rPr>
                <w:rFonts w:eastAsia="Times New Roman" w:cstheme="minorHAnsi"/>
                <w:b/>
                <w:bCs/>
                <w:sz w:val="20"/>
                <w:szCs w:val="20"/>
                <w:lang w:eastAsia="es-PE"/>
              </w:rPr>
              <w:t>Astraseneca</w:t>
            </w:r>
            <w:proofErr w:type="spellEnd"/>
          </w:p>
        </w:tc>
        <w:tc>
          <w:tcPr>
            <w:tcW w:w="961" w:type="dxa"/>
            <w:tcBorders>
              <w:top w:val="nil"/>
              <w:left w:val="nil"/>
              <w:bottom w:val="nil"/>
              <w:right w:val="nil"/>
            </w:tcBorders>
            <w:shd w:val="clear" w:color="auto" w:fill="auto"/>
            <w:noWrap/>
            <w:hideMark/>
          </w:tcPr>
          <w:p w14:paraId="524B6987" w14:textId="77777777" w:rsidR="00731688" w:rsidRPr="002974BE" w:rsidRDefault="00731688" w:rsidP="001D7F2E">
            <w:pPr>
              <w:spacing w:after="0" w:line="240" w:lineRule="auto"/>
              <w:jc w:val="both"/>
              <w:rPr>
                <w:rFonts w:eastAsia="Times New Roman" w:cstheme="minorHAnsi"/>
                <w:b/>
                <w:bCs/>
                <w:sz w:val="20"/>
                <w:szCs w:val="20"/>
                <w:lang w:eastAsia="es-PE"/>
              </w:rPr>
            </w:pPr>
          </w:p>
        </w:tc>
        <w:tc>
          <w:tcPr>
            <w:tcW w:w="1093" w:type="dxa"/>
            <w:tcBorders>
              <w:top w:val="nil"/>
              <w:left w:val="nil"/>
              <w:bottom w:val="nil"/>
              <w:right w:val="nil"/>
            </w:tcBorders>
            <w:shd w:val="clear" w:color="auto" w:fill="auto"/>
            <w:noWrap/>
            <w:hideMark/>
          </w:tcPr>
          <w:p w14:paraId="321C3516" w14:textId="77777777" w:rsidR="00731688" w:rsidRPr="002974BE" w:rsidRDefault="00731688" w:rsidP="001D7F2E">
            <w:pPr>
              <w:spacing w:after="0" w:line="240" w:lineRule="auto"/>
              <w:jc w:val="both"/>
              <w:rPr>
                <w:rFonts w:eastAsia="Times New Roman" w:cstheme="minorHAnsi"/>
                <w:sz w:val="20"/>
                <w:szCs w:val="20"/>
                <w:lang w:eastAsia="es-PE"/>
              </w:rPr>
            </w:pPr>
          </w:p>
        </w:tc>
      </w:tr>
      <w:tr w:rsidR="00731688" w:rsidRPr="002974BE" w14:paraId="0A51331D" w14:textId="77777777" w:rsidTr="005F269C">
        <w:trPr>
          <w:trHeight w:val="258"/>
          <w:jc w:val="center"/>
        </w:trPr>
        <w:tc>
          <w:tcPr>
            <w:tcW w:w="2997" w:type="dxa"/>
            <w:tcBorders>
              <w:top w:val="nil"/>
              <w:left w:val="nil"/>
              <w:bottom w:val="nil"/>
              <w:right w:val="nil"/>
            </w:tcBorders>
            <w:shd w:val="clear" w:color="auto" w:fill="auto"/>
            <w:hideMark/>
          </w:tcPr>
          <w:p w14:paraId="0CBD6052"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0 dosis</w:t>
            </w:r>
          </w:p>
        </w:tc>
        <w:tc>
          <w:tcPr>
            <w:tcW w:w="961" w:type="dxa"/>
            <w:tcBorders>
              <w:top w:val="nil"/>
              <w:left w:val="nil"/>
              <w:bottom w:val="nil"/>
              <w:right w:val="nil"/>
            </w:tcBorders>
            <w:shd w:val="clear" w:color="auto" w:fill="auto"/>
            <w:noWrap/>
            <w:hideMark/>
          </w:tcPr>
          <w:p w14:paraId="5824E01C"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162</w:t>
            </w:r>
          </w:p>
        </w:tc>
        <w:tc>
          <w:tcPr>
            <w:tcW w:w="1093" w:type="dxa"/>
            <w:tcBorders>
              <w:top w:val="nil"/>
              <w:left w:val="nil"/>
              <w:bottom w:val="nil"/>
              <w:right w:val="nil"/>
            </w:tcBorders>
            <w:shd w:val="clear" w:color="auto" w:fill="auto"/>
            <w:noWrap/>
            <w:hideMark/>
          </w:tcPr>
          <w:p w14:paraId="19B68677"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99.4%</w:t>
            </w:r>
          </w:p>
        </w:tc>
      </w:tr>
      <w:tr w:rsidR="00731688" w:rsidRPr="002974BE" w14:paraId="249C69C2" w14:textId="77777777" w:rsidTr="005F269C">
        <w:trPr>
          <w:trHeight w:val="258"/>
          <w:jc w:val="center"/>
        </w:trPr>
        <w:tc>
          <w:tcPr>
            <w:tcW w:w="2997" w:type="dxa"/>
            <w:tcBorders>
              <w:top w:val="nil"/>
              <w:left w:val="nil"/>
              <w:bottom w:val="single" w:sz="4" w:space="0" w:color="auto"/>
              <w:right w:val="nil"/>
            </w:tcBorders>
            <w:shd w:val="clear" w:color="auto" w:fill="auto"/>
            <w:hideMark/>
          </w:tcPr>
          <w:p w14:paraId="682295A2"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1 dosis</w:t>
            </w:r>
          </w:p>
        </w:tc>
        <w:tc>
          <w:tcPr>
            <w:tcW w:w="961" w:type="dxa"/>
            <w:tcBorders>
              <w:top w:val="nil"/>
              <w:left w:val="nil"/>
              <w:bottom w:val="single" w:sz="4" w:space="0" w:color="auto"/>
              <w:right w:val="nil"/>
            </w:tcBorders>
            <w:shd w:val="clear" w:color="auto" w:fill="auto"/>
            <w:noWrap/>
            <w:hideMark/>
          </w:tcPr>
          <w:p w14:paraId="11D3473D"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w:t>
            </w:r>
          </w:p>
        </w:tc>
        <w:tc>
          <w:tcPr>
            <w:tcW w:w="1093" w:type="dxa"/>
            <w:tcBorders>
              <w:top w:val="nil"/>
              <w:left w:val="nil"/>
              <w:bottom w:val="single" w:sz="4" w:space="0" w:color="auto"/>
              <w:right w:val="nil"/>
            </w:tcBorders>
            <w:shd w:val="clear" w:color="auto" w:fill="auto"/>
            <w:noWrap/>
            <w:hideMark/>
          </w:tcPr>
          <w:p w14:paraId="7160AB66"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0.6%</w:t>
            </w:r>
          </w:p>
        </w:tc>
      </w:tr>
    </w:tbl>
    <w:p w14:paraId="1F91FB24" w14:textId="77777777" w:rsidR="00731688" w:rsidRPr="002974BE" w:rsidRDefault="00731688" w:rsidP="001D7F2E">
      <w:pPr>
        <w:pStyle w:val="Textoindependiente"/>
        <w:spacing w:before="0" w:after="0" w:line="360" w:lineRule="auto"/>
        <w:jc w:val="both"/>
        <w:rPr>
          <w:rFonts w:cstheme="minorHAnsi"/>
          <w:b/>
          <w:sz w:val="22"/>
          <w:szCs w:val="22"/>
        </w:rPr>
      </w:pPr>
    </w:p>
    <w:p w14:paraId="3E5C4861" w14:textId="7B3E0D7E" w:rsidR="00731688" w:rsidRPr="002974BE" w:rsidRDefault="00731688" w:rsidP="001D7F2E">
      <w:pPr>
        <w:jc w:val="both"/>
        <w:rPr>
          <w:rFonts w:cstheme="minorHAnsi"/>
          <w:sz w:val="24"/>
          <w:szCs w:val="24"/>
        </w:rPr>
      </w:pPr>
      <w:r w:rsidRPr="002974BE">
        <w:rPr>
          <w:rFonts w:cstheme="minorHAnsi"/>
        </w:rPr>
        <w:t>Del total de trabajadores</w:t>
      </w:r>
      <w:r w:rsidR="00CB0698">
        <w:rPr>
          <w:rFonts w:cstheme="minorHAnsi"/>
        </w:rPr>
        <w:t xml:space="preserve"> el 73.6% resultaron infectados de los cuales </w:t>
      </w:r>
      <w:r w:rsidRPr="002974BE">
        <w:rPr>
          <w:rFonts w:cstheme="minorHAnsi"/>
          <w:sz w:val="24"/>
          <w:szCs w:val="24"/>
        </w:rPr>
        <w:t xml:space="preserve">el 56.7% </w:t>
      </w:r>
      <w:r w:rsidR="00CB0698">
        <w:rPr>
          <w:rFonts w:cstheme="minorHAnsi"/>
          <w:sz w:val="24"/>
          <w:szCs w:val="24"/>
        </w:rPr>
        <w:t xml:space="preserve">se </w:t>
      </w:r>
      <w:proofErr w:type="spellStart"/>
      <w:r w:rsidR="00CB0698">
        <w:rPr>
          <w:rFonts w:cstheme="minorHAnsi"/>
          <w:sz w:val="24"/>
          <w:szCs w:val="24"/>
        </w:rPr>
        <w:t>infecto</w:t>
      </w:r>
      <w:proofErr w:type="spellEnd"/>
      <w:r w:rsidR="00CB0698">
        <w:rPr>
          <w:rFonts w:cstheme="minorHAnsi"/>
          <w:sz w:val="24"/>
          <w:szCs w:val="24"/>
        </w:rPr>
        <w:t xml:space="preserve"> </w:t>
      </w:r>
      <w:r w:rsidRPr="002974BE">
        <w:rPr>
          <w:rFonts w:cstheme="minorHAnsi"/>
          <w:sz w:val="24"/>
          <w:szCs w:val="24"/>
        </w:rPr>
        <w:t>después de la a</w:t>
      </w:r>
      <w:r w:rsidR="00CB0698">
        <w:rPr>
          <w:rFonts w:cstheme="minorHAnsi"/>
          <w:sz w:val="24"/>
          <w:szCs w:val="24"/>
        </w:rPr>
        <w:t>plicación de la tercera dosis</w:t>
      </w:r>
      <w:r w:rsidRPr="002974BE">
        <w:rPr>
          <w:rFonts w:cstheme="minorHAnsi"/>
          <w:sz w:val="24"/>
          <w:szCs w:val="24"/>
        </w:rPr>
        <w:t xml:space="preserve">, el 66.3% tuvo contacto con algún caso confirmado, el 74.8% presentó síntomas, siendo los 3 </w:t>
      </w:r>
      <w:proofErr w:type="gramStart"/>
      <w:r w:rsidRPr="002974BE">
        <w:rPr>
          <w:rFonts w:cstheme="minorHAnsi"/>
          <w:sz w:val="24"/>
          <w:szCs w:val="24"/>
        </w:rPr>
        <w:t>más frecuentes dolor</w:t>
      </w:r>
      <w:proofErr w:type="gramEnd"/>
      <w:r w:rsidRPr="002974BE">
        <w:rPr>
          <w:rFonts w:cstheme="minorHAnsi"/>
          <w:sz w:val="24"/>
          <w:szCs w:val="24"/>
        </w:rPr>
        <w:t xml:space="preserve"> de garganta, fiebre y tos, con 44.8%, 44.2% y 44.2% respectivamente; también, </w:t>
      </w:r>
      <w:r w:rsidRPr="00CB0698">
        <w:rPr>
          <w:rFonts w:cstheme="minorHAnsi"/>
          <w:strike/>
          <w:sz w:val="24"/>
          <w:szCs w:val="24"/>
        </w:rPr>
        <w:t xml:space="preserve">el 54.6% realizaron su último descarte con prueba molecular y el 73.6% resultó con prueba positiva a infección por COVID-19 </w:t>
      </w:r>
      <w:r w:rsidRPr="002974BE">
        <w:rPr>
          <w:rFonts w:cstheme="minorHAnsi"/>
          <w:sz w:val="24"/>
          <w:szCs w:val="24"/>
        </w:rPr>
        <w:t>(Tabla 3).</w:t>
      </w:r>
    </w:p>
    <w:p w14:paraId="755182D5" w14:textId="77777777" w:rsidR="00731688" w:rsidRPr="002974BE" w:rsidRDefault="00731688" w:rsidP="001D7F2E">
      <w:pPr>
        <w:pStyle w:val="Textoindependiente"/>
        <w:spacing w:before="0" w:after="0" w:line="360" w:lineRule="auto"/>
        <w:jc w:val="both"/>
        <w:rPr>
          <w:rFonts w:cstheme="minorHAnsi"/>
          <w:sz w:val="22"/>
          <w:szCs w:val="22"/>
        </w:rPr>
      </w:pPr>
    </w:p>
    <w:p w14:paraId="53151E2A" w14:textId="77777777" w:rsidR="00731688" w:rsidRPr="002974BE" w:rsidRDefault="00731688" w:rsidP="001D7F2E">
      <w:pPr>
        <w:pStyle w:val="Textoindependiente"/>
        <w:spacing w:before="0" w:after="0" w:line="276" w:lineRule="auto"/>
        <w:jc w:val="both"/>
        <w:rPr>
          <w:rFonts w:cstheme="minorHAnsi"/>
          <w:b/>
          <w:sz w:val="22"/>
          <w:szCs w:val="22"/>
        </w:rPr>
      </w:pPr>
      <w:r w:rsidRPr="002974BE">
        <w:rPr>
          <w:rFonts w:cstheme="minorHAnsi"/>
          <w:b/>
          <w:sz w:val="22"/>
          <w:szCs w:val="22"/>
        </w:rPr>
        <w:t xml:space="preserve">Tabla 03. Características clínicas de los trabajadores vacunos contra SARS-Cov-2 del instituto Nacional de Salud de San Borja. </w:t>
      </w:r>
    </w:p>
    <w:tbl>
      <w:tblPr>
        <w:tblW w:w="5304" w:type="dxa"/>
        <w:jc w:val="center"/>
        <w:tblCellMar>
          <w:left w:w="70" w:type="dxa"/>
          <w:right w:w="70" w:type="dxa"/>
        </w:tblCellMar>
        <w:tblLook w:val="04A0" w:firstRow="1" w:lastRow="0" w:firstColumn="1" w:lastColumn="0" w:noHBand="0" w:noVBand="1"/>
      </w:tblPr>
      <w:tblGrid>
        <w:gridCol w:w="3232"/>
        <w:gridCol w:w="1010"/>
        <w:gridCol w:w="1062"/>
      </w:tblGrid>
      <w:tr w:rsidR="00731688" w:rsidRPr="002974BE" w14:paraId="5BA966A0" w14:textId="77777777" w:rsidTr="005F269C">
        <w:trPr>
          <w:trHeight w:val="252"/>
          <w:jc w:val="center"/>
        </w:trPr>
        <w:tc>
          <w:tcPr>
            <w:tcW w:w="3232" w:type="dxa"/>
            <w:tcBorders>
              <w:top w:val="single" w:sz="4" w:space="0" w:color="auto"/>
              <w:left w:val="nil"/>
              <w:bottom w:val="single" w:sz="4" w:space="0" w:color="auto"/>
              <w:right w:val="nil"/>
            </w:tcBorders>
            <w:shd w:val="clear" w:color="auto" w:fill="auto"/>
            <w:vAlign w:val="bottom"/>
            <w:hideMark/>
          </w:tcPr>
          <w:p w14:paraId="6C33039A"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 </w:t>
            </w:r>
          </w:p>
        </w:tc>
        <w:tc>
          <w:tcPr>
            <w:tcW w:w="1010" w:type="dxa"/>
            <w:tcBorders>
              <w:top w:val="single" w:sz="4" w:space="0" w:color="auto"/>
              <w:left w:val="nil"/>
              <w:bottom w:val="single" w:sz="4" w:space="0" w:color="auto"/>
              <w:right w:val="nil"/>
            </w:tcBorders>
            <w:shd w:val="clear" w:color="auto" w:fill="auto"/>
            <w:vAlign w:val="bottom"/>
            <w:hideMark/>
          </w:tcPr>
          <w:p w14:paraId="7C1E1CAF"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n=163</w:t>
            </w:r>
          </w:p>
        </w:tc>
        <w:tc>
          <w:tcPr>
            <w:tcW w:w="1062" w:type="dxa"/>
            <w:tcBorders>
              <w:top w:val="single" w:sz="4" w:space="0" w:color="auto"/>
              <w:left w:val="nil"/>
              <w:bottom w:val="single" w:sz="4" w:space="0" w:color="auto"/>
              <w:right w:val="nil"/>
            </w:tcBorders>
            <w:shd w:val="clear" w:color="auto" w:fill="auto"/>
            <w:vAlign w:val="bottom"/>
            <w:hideMark/>
          </w:tcPr>
          <w:p w14:paraId="2A3F5B97"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Porcentaje</w:t>
            </w:r>
          </w:p>
        </w:tc>
      </w:tr>
      <w:tr w:rsidR="00731688" w:rsidRPr="002974BE" w14:paraId="4D5A9E54" w14:textId="77777777" w:rsidTr="005F269C">
        <w:trPr>
          <w:trHeight w:val="252"/>
          <w:jc w:val="center"/>
        </w:trPr>
        <w:tc>
          <w:tcPr>
            <w:tcW w:w="3232" w:type="dxa"/>
            <w:tcBorders>
              <w:top w:val="nil"/>
              <w:left w:val="nil"/>
              <w:bottom w:val="nil"/>
              <w:right w:val="nil"/>
            </w:tcBorders>
            <w:shd w:val="clear" w:color="auto" w:fill="auto"/>
            <w:hideMark/>
          </w:tcPr>
          <w:p w14:paraId="0CD2FFDD"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 xml:space="preserve">Infección por </w:t>
            </w:r>
            <w:proofErr w:type="spellStart"/>
            <w:r w:rsidRPr="002974BE">
              <w:rPr>
                <w:rFonts w:eastAsia="Times New Roman" w:cstheme="minorHAnsi"/>
                <w:b/>
                <w:bCs/>
                <w:sz w:val="20"/>
                <w:szCs w:val="20"/>
                <w:lang w:eastAsia="es-PE"/>
              </w:rPr>
              <w:t>covid</w:t>
            </w:r>
            <w:proofErr w:type="spellEnd"/>
          </w:p>
        </w:tc>
        <w:tc>
          <w:tcPr>
            <w:tcW w:w="1010" w:type="dxa"/>
            <w:tcBorders>
              <w:top w:val="nil"/>
              <w:left w:val="nil"/>
              <w:bottom w:val="nil"/>
              <w:right w:val="nil"/>
            </w:tcBorders>
            <w:shd w:val="clear" w:color="auto" w:fill="auto"/>
            <w:noWrap/>
            <w:hideMark/>
          </w:tcPr>
          <w:p w14:paraId="15AE7ECE" w14:textId="77777777" w:rsidR="00731688" w:rsidRPr="002974BE" w:rsidRDefault="00731688" w:rsidP="001D7F2E">
            <w:pPr>
              <w:spacing w:after="0" w:line="240" w:lineRule="auto"/>
              <w:jc w:val="both"/>
              <w:rPr>
                <w:rFonts w:eastAsia="Times New Roman" w:cstheme="minorHAnsi"/>
                <w:b/>
                <w:bCs/>
                <w:sz w:val="20"/>
                <w:szCs w:val="20"/>
                <w:lang w:eastAsia="es-PE"/>
              </w:rPr>
            </w:pPr>
          </w:p>
        </w:tc>
        <w:tc>
          <w:tcPr>
            <w:tcW w:w="1062" w:type="dxa"/>
            <w:tcBorders>
              <w:top w:val="nil"/>
              <w:left w:val="nil"/>
              <w:bottom w:val="nil"/>
              <w:right w:val="nil"/>
            </w:tcBorders>
            <w:shd w:val="clear" w:color="auto" w:fill="auto"/>
            <w:noWrap/>
            <w:hideMark/>
          </w:tcPr>
          <w:p w14:paraId="62435D2E" w14:textId="77777777" w:rsidR="00731688" w:rsidRPr="002974BE" w:rsidRDefault="00731688" w:rsidP="001D7F2E">
            <w:pPr>
              <w:spacing w:after="0" w:line="240" w:lineRule="auto"/>
              <w:jc w:val="both"/>
              <w:rPr>
                <w:rFonts w:eastAsia="Times New Roman" w:cstheme="minorHAnsi"/>
                <w:sz w:val="20"/>
                <w:szCs w:val="20"/>
                <w:lang w:eastAsia="es-PE"/>
              </w:rPr>
            </w:pPr>
          </w:p>
        </w:tc>
      </w:tr>
      <w:tr w:rsidR="00731688" w:rsidRPr="002974BE" w14:paraId="02E673FD" w14:textId="77777777" w:rsidTr="005F269C">
        <w:trPr>
          <w:trHeight w:val="252"/>
          <w:jc w:val="center"/>
        </w:trPr>
        <w:tc>
          <w:tcPr>
            <w:tcW w:w="3232" w:type="dxa"/>
            <w:tcBorders>
              <w:top w:val="nil"/>
              <w:left w:val="nil"/>
              <w:bottom w:val="nil"/>
              <w:right w:val="nil"/>
            </w:tcBorders>
            <w:shd w:val="clear" w:color="auto" w:fill="auto"/>
            <w:hideMark/>
          </w:tcPr>
          <w:p w14:paraId="2878D695"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Si</w:t>
            </w:r>
          </w:p>
        </w:tc>
        <w:tc>
          <w:tcPr>
            <w:tcW w:w="1010" w:type="dxa"/>
            <w:tcBorders>
              <w:top w:val="nil"/>
              <w:left w:val="nil"/>
              <w:bottom w:val="nil"/>
              <w:right w:val="nil"/>
            </w:tcBorders>
            <w:shd w:val="clear" w:color="auto" w:fill="auto"/>
            <w:noWrap/>
            <w:hideMark/>
          </w:tcPr>
          <w:p w14:paraId="3ECCD258"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120</w:t>
            </w:r>
          </w:p>
        </w:tc>
        <w:tc>
          <w:tcPr>
            <w:tcW w:w="1062" w:type="dxa"/>
            <w:tcBorders>
              <w:top w:val="nil"/>
              <w:left w:val="nil"/>
              <w:bottom w:val="nil"/>
              <w:right w:val="nil"/>
            </w:tcBorders>
            <w:shd w:val="clear" w:color="auto" w:fill="auto"/>
            <w:noWrap/>
            <w:hideMark/>
          </w:tcPr>
          <w:p w14:paraId="52AE46FF"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73.6%</w:t>
            </w:r>
          </w:p>
        </w:tc>
      </w:tr>
      <w:tr w:rsidR="00731688" w:rsidRPr="002974BE" w14:paraId="1B2156F1" w14:textId="77777777" w:rsidTr="005F269C">
        <w:trPr>
          <w:trHeight w:val="252"/>
          <w:jc w:val="center"/>
        </w:trPr>
        <w:tc>
          <w:tcPr>
            <w:tcW w:w="3232" w:type="dxa"/>
            <w:tcBorders>
              <w:top w:val="nil"/>
              <w:left w:val="nil"/>
              <w:bottom w:val="nil"/>
              <w:right w:val="nil"/>
            </w:tcBorders>
            <w:shd w:val="clear" w:color="auto" w:fill="auto"/>
            <w:hideMark/>
          </w:tcPr>
          <w:p w14:paraId="5DFC7219"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No</w:t>
            </w:r>
          </w:p>
        </w:tc>
        <w:tc>
          <w:tcPr>
            <w:tcW w:w="1010" w:type="dxa"/>
            <w:tcBorders>
              <w:top w:val="nil"/>
              <w:left w:val="nil"/>
              <w:bottom w:val="nil"/>
              <w:right w:val="nil"/>
            </w:tcBorders>
            <w:shd w:val="clear" w:color="auto" w:fill="auto"/>
            <w:noWrap/>
            <w:hideMark/>
          </w:tcPr>
          <w:p w14:paraId="38B203F9"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43</w:t>
            </w:r>
          </w:p>
        </w:tc>
        <w:tc>
          <w:tcPr>
            <w:tcW w:w="1062" w:type="dxa"/>
            <w:tcBorders>
              <w:top w:val="nil"/>
              <w:left w:val="nil"/>
              <w:bottom w:val="nil"/>
              <w:right w:val="nil"/>
            </w:tcBorders>
            <w:shd w:val="clear" w:color="auto" w:fill="auto"/>
            <w:noWrap/>
            <w:hideMark/>
          </w:tcPr>
          <w:p w14:paraId="204F3E9A"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26.4%</w:t>
            </w:r>
          </w:p>
        </w:tc>
      </w:tr>
      <w:tr w:rsidR="00731688" w:rsidRPr="002974BE" w14:paraId="79F5CFBB" w14:textId="77777777" w:rsidTr="005F269C">
        <w:trPr>
          <w:trHeight w:val="252"/>
          <w:jc w:val="center"/>
        </w:trPr>
        <w:tc>
          <w:tcPr>
            <w:tcW w:w="3232" w:type="dxa"/>
            <w:tcBorders>
              <w:top w:val="nil"/>
              <w:left w:val="nil"/>
              <w:bottom w:val="nil"/>
              <w:right w:val="nil"/>
            </w:tcBorders>
            <w:shd w:val="clear" w:color="auto" w:fill="auto"/>
            <w:hideMark/>
          </w:tcPr>
          <w:p w14:paraId="6911097B"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Momento de contagio COVID-19</w:t>
            </w:r>
          </w:p>
        </w:tc>
        <w:tc>
          <w:tcPr>
            <w:tcW w:w="1010" w:type="dxa"/>
            <w:tcBorders>
              <w:top w:val="nil"/>
              <w:left w:val="nil"/>
              <w:bottom w:val="nil"/>
              <w:right w:val="nil"/>
            </w:tcBorders>
            <w:shd w:val="clear" w:color="auto" w:fill="auto"/>
            <w:noWrap/>
            <w:hideMark/>
          </w:tcPr>
          <w:p w14:paraId="4DA59AC9" w14:textId="77777777" w:rsidR="00731688" w:rsidRPr="002974BE" w:rsidRDefault="00731688" w:rsidP="001D7F2E">
            <w:pPr>
              <w:spacing w:after="0" w:line="240" w:lineRule="auto"/>
              <w:jc w:val="both"/>
              <w:rPr>
                <w:rFonts w:eastAsia="Times New Roman" w:cstheme="minorHAnsi"/>
                <w:b/>
                <w:bCs/>
                <w:sz w:val="20"/>
                <w:szCs w:val="20"/>
                <w:lang w:eastAsia="es-PE"/>
              </w:rPr>
            </w:pPr>
          </w:p>
        </w:tc>
        <w:tc>
          <w:tcPr>
            <w:tcW w:w="1062" w:type="dxa"/>
            <w:tcBorders>
              <w:top w:val="nil"/>
              <w:left w:val="nil"/>
              <w:bottom w:val="nil"/>
              <w:right w:val="nil"/>
            </w:tcBorders>
            <w:shd w:val="clear" w:color="auto" w:fill="auto"/>
            <w:noWrap/>
            <w:hideMark/>
          </w:tcPr>
          <w:p w14:paraId="652FE875" w14:textId="77777777" w:rsidR="00731688" w:rsidRPr="002974BE" w:rsidRDefault="00731688" w:rsidP="001D7F2E">
            <w:pPr>
              <w:spacing w:after="0" w:line="240" w:lineRule="auto"/>
              <w:jc w:val="both"/>
              <w:rPr>
                <w:rFonts w:eastAsia="Times New Roman" w:cstheme="minorHAnsi"/>
                <w:sz w:val="20"/>
                <w:szCs w:val="20"/>
                <w:lang w:eastAsia="es-PE"/>
              </w:rPr>
            </w:pPr>
          </w:p>
        </w:tc>
      </w:tr>
      <w:tr w:rsidR="00731688" w:rsidRPr="002974BE" w14:paraId="1A37FF90" w14:textId="77777777" w:rsidTr="005F269C">
        <w:trPr>
          <w:trHeight w:val="252"/>
          <w:jc w:val="center"/>
        </w:trPr>
        <w:tc>
          <w:tcPr>
            <w:tcW w:w="3232" w:type="dxa"/>
            <w:tcBorders>
              <w:top w:val="nil"/>
              <w:left w:val="nil"/>
              <w:bottom w:val="nil"/>
              <w:right w:val="nil"/>
            </w:tcBorders>
            <w:shd w:val="clear" w:color="auto" w:fill="auto"/>
            <w:hideMark/>
          </w:tcPr>
          <w:p w14:paraId="662F231B"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Antes de 1era dosis</w:t>
            </w:r>
          </w:p>
        </w:tc>
        <w:tc>
          <w:tcPr>
            <w:tcW w:w="1010" w:type="dxa"/>
            <w:tcBorders>
              <w:top w:val="nil"/>
              <w:left w:val="nil"/>
              <w:bottom w:val="nil"/>
              <w:right w:val="nil"/>
            </w:tcBorders>
            <w:shd w:val="clear" w:color="auto" w:fill="auto"/>
            <w:noWrap/>
            <w:hideMark/>
          </w:tcPr>
          <w:p w14:paraId="3962AB7C"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32</w:t>
            </w:r>
          </w:p>
        </w:tc>
        <w:tc>
          <w:tcPr>
            <w:tcW w:w="1062" w:type="dxa"/>
            <w:tcBorders>
              <w:top w:val="nil"/>
              <w:left w:val="nil"/>
              <w:bottom w:val="nil"/>
              <w:right w:val="nil"/>
            </w:tcBorders>
            <w:shd w:val="clear" w:color="auto" w:fill="auto"/>
            <w:noWrap/>
            <w:hideMark/>
          </w:tcPr>
          <w:p w14:paraId="1959845F"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26.7%</w:t>
            </w:r>
          </w:p>
        </w:tc>
      </w:tr>
      <w:tr w:rsidR="00731688" w:rsidRPr="002974BE" w14:paraId="4208B2E9" w14:textId="77777777" w:rsidTr="005F269C">
        <w:trPr>
          <w:trHeight w:val="252"/>
          <w:jc w:val="center"/>
        </w:trPr>
        <w:tc>
          <w:tcPr>
            <w:tcW w:w="3232" w:type="dxa"/>
            <w:tcBorders>
              <w:top w:val="nil"/>
              <w:left w:val="nil"/>
              <w:bottom w:val="nil"/>
              <w:right w:val="nil"/>
            </w:tcBorders>
            <w:shd w:val="clear" w:color="auto" w:fill="auto"/>
            <w:hideMark/>
          </w:tcPr>
          <w:p w14:paraId="715402FD"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Después de la 1era dosis</w:t>
            </w:r>
          </w:p>
        </w:tc>
        <w:tc>
          <w:tcPr>
            <w:tcW w:w="1010" w:type="dxa"/>
            <w:tcBorders>
              <w:top w:val="nil"/>
              <w:left w:val="nil"/>
              <w:bottom w:val="nil"/>
              <w:right w:val="nil"/>
            </w:tcBorders>
            <w:shd w:val="clear" w:color="auto" w:fill="auto"/>
            <w:noWrap/>
            <w:hideMark/>
          </w:tcPr>
          <w:p w14:paraId="3F038F48"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6</w:t>
            </w:r>
          </w:p>
        </w:tc>
        <w:tc>
          <w:tcPr>
            <w:tcW w:w="1062" w:type="dxa"/>
            <w:tcBorders>
              <w:top w:val="nil"/>
              <w:left w:val="nil"/>
              <w:bottom w:val="nil"/>
              <w:right w:val="nil"/>
            </w:tcBorders>
            <w:shd w:val="clear" w:color="auto" w:fill="auto"/>
            <w:noWrap/>
            <w:hideMark/>
          </w:tcPr>
          <w:p w14:paraId="069CA23D"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5.0%</w:t>
            </w:r>
          </w:p>
        </w:tc>
      </w:tr>
      <w:tr w:rsidR="00731688" w:rsidRPr="002974BE" w14:paraId="4774370B" w14:textId="77777777" w:rsidTr="005F269C">
        <w:trPr>
          <w:trHeight w:val="252"/>
          <w:jc w:val="center"/>
        </w:trPr>
        <w:tc>
          <w:tcPr>
            <w:tcW w:w="3232" w:type="dxa"/>
            <w:tcBorders>
              <w:top w:val="nil"/>
              <w:left w:val="nil"/>
              <w:bottom w:val="nil"/>
              <w:right w:val="nil"/>
            </w:tcBorders>
            <w:shd w:val="clear" w:color="auto" w:fill="auto"/>
            <w:hideMark/>
          </w:tcPr>
          <w:p w14:paraId="62C469B0"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Después de la 2da dosis</w:t>
            </w:r>
          </w:p>
        </w:tc>
        <w:tc>
          <w:tcPr>
            <w:tcW w:w="1010" w:type="dxa"/>
            <w:tcBorders>
              <w:top w:val="nil"/>
              <w:left w:val="nil"/>
              <w:bottom w:val="nil"/>
              <w:right w:val="nil"/>
            </w:tcBorders>
            <w:shd w:val="clear" w:color="auto" w:fill="auto"/>
            <w:noWrap/>
            <w:hideMark/>
          </w:tcPr>
          <w:p w14:paraId="241764FF"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14</w:t>
            </w:r>
          </w:p>
        </w:tc>
        <w:tc>
          <w:tcPr>
            <w:tcW w:w="1062" w:type="dxa"/>
            <w:tcBorders>
              <w:top w:val="nil"/>
              <w:left w:val="nil"/>
              <w:bottom w:val="nil"/>
              <w:right w:val="nil"/>
            </w:tcBorders>
            <w:shd w:val="clear" w:color="auto" w:fill="auto"/>
            <w:noWrap/>
            <w:hideMark/>
          </w:tcPr>
          <w:p w14:paraId="308A5F3B"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11.7%</w:t>
            </w:r>
          </w:p>
        </w:tc>
      </w:tr>
      <w:tr w:rsidR="00731688" w:rsidRPr="002974BE" w14:paraId="683A467F" w14:textId="77777777" w:rsidTr="005F269C">
        <w:trPr>
          <w:trHeight w:val="252"/>
          <w:jc w:val="center"/>
        </w:trPr>
        <w:tc>
          <w:tcPr>
            <w:tcW w:w="3232" w:type="dxa"/>
            <w:tcBorders>
              <w:top w:val="nil"/>
              <w:left w:val="nil"/>
              <w:bottom w:val="nil"/>
              <w:right w:val="nil"/>
            </w:tcBorders>
            <w:shd w:val="clear" w:color="auto" w:fill="auto"/>
            <w:hideMark/>
          </w:tcPr>
          <w:p w14:paraId="50708E51"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Después de la 3era dosis</w:t>
            </w:r>
          </w:p>
        </w:tc>
        <w:tc>
          <w:tcPr>
            <w:tcW w:w="1010" w:type="dxa"/>
            <w:tcBorders>
              <w:top w:val="nil"/>
              <w:left w:val="nil"/>
              <w:bottom w:val="nil"/>
              <w:right w:val="nil"/>
            </w:tcBorders>
            <w:shd w:val="clear" w:color="auto" w:fill="auto"/>
            <w:noWrap/>
            <w:hideMark/>
          </w:tcPr>
          <w:p w14:paraId="091093CB"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68</w:t>
            </w:r>
          </w:p>
        </w:tc>
        <w:tc>
          <w:tcPr>
            <w:tcW w:w="1062" w:type="dxa"/>
            <w:tcBorders>
              <w:top w:val="nil"/>
              <w:left w:val="nil"/>
              <w:bottom w:val="nil"/>
              <w:right w:val="nil"/>
            </w:tcBorders>
            <w:shd w:val="clear" w:color="auto" w:fill="auto"/>
            <w:noWrap/>
            <w:hideMark/>
          </w:tcPr>
          <w:p w14:paraId="5C028878"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56.7%</w:t>
            </w:r>
          </w:p>
        </w:tc>
      </w:tr>
      <w:tr w:rsidR="00731688" w:rsidRPr="002974BE" w14:paraId="15FDEAF8" w14:textId="77777777" w:rsidTr="005F269C">
        <w:trPr>
          <w:trHeight w:val="252"/>
          <w:jc w:val="center"/>
        </w:trPr>
        <w:tc>
          <w:tcPr>
            <w:tcW w:w="3232" w:type="dxa"/>
            <w:tcBorders>
              <w:top w:val="nil"/>
              <w:left w:val="nil"/>
              <w:bottom w:val="nil"/>
              <w:right w:val="nil"/>
            </w:tcBorders>
            <w:shd w:val="clear" w:color="auto" w:fill="auto"/>
            <w:hideMark/>
          </w:tcPr>
          <w:p w14:paraId="1EAF6D5A"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Tipo de contacto</w:t>
            </w:r>
          </w:p>
        </w:tc>
        <w:tc>
          <w:tcPr>
            <w:tcW w:w="1010" w:type="dxa"/>
            <w:tcBorders>
              <w:top w:val="nil"/>
              <w:left w:val="nil"/>
              <w:bottom w:val="nil"/>
              <w:right w:val="nil"/>
            </w:tcBorders>
            <w:shd w:val="clear" w:color="auto" w:fill="auto"/>
            <w:noWrap/>
            <w:hideMark/>
          </w:tcPr>
          <w:p w14:paraId="4B02C8CC" w14:textId="77777777" w:rsidR="00731688" w:rsidRPr="002974BE" w:rsidRDefault="00731688" w:rsidP="001D7F2E">
            <w:pPr>
              <w:spacing w:after="0" w:line="240" w:lineRule="auto"/>
              <w:jc w:val="both"/>
              <w:rPr>
                <w:rFonts w:eastAsia="Times New Roman" w:cstheme="minorHAnsi"/>
                <w:b/>
                <w:bCs/>
                <w:sz w:val="20"/>
                <w:szCs w:val="20"/>
                <w:lang w:eastAsia="es-PE"/>
              </w:rPr>
            </w:pPr>
          </w:p>
        </w:tc>
        <w:tc>
          <w:tcPr>
            <w:tcW w:w="1062" w:type="dxa"/>
            <w:tcBorders>
              <w:top w:val="nil"/>
              <w:left w:val="nil"/>
              <w:bottom w:val="nil"/>
              <w:right w:val="nil"/>
            </w:tcBorders>
            <w:shd w:val="clear" w:color="auto" w:fill="auto"/>
            <w:noWrap/>
            <w:hideMark/>
          </w:tcPr>
          <w:p w14:paraId="44DE0F4E" w14:textId="77777777" w:rsidR="00731688" w:rsidRPr="002974BE" w:rsidRDefault="00731688" w:rsidP="001D7F2E">
            <w:pPr>
              <w:spacing w:after="0" w:line="240" w:lineRule="auto"/>
              <w:jc w:val="both"/>
              <w:rPr>
                <w:rFonts w:eastAsia="Times New Roman" w:cstheme="minorHAnsi"/>
                <w:sz w:val="20"/>
                <w:szCs w:val="20"/>
                <w:lang w:eastAsia="es-PE"/>
              </w:rPr>
            </w:pPr>
          </w:p>
        </w:tc>
      </w:tr>
      <w:tr w:rsidR="00731688" w:rsidRPr="002974BE" w14:paraId="6F00ACC5" w14:textId="77777777" w:rsidTr="005F269C">
        <w:trPr>
          <w:trHeight w:val="252"/>
          <w:jc w:val="center"/>
        </w:trPr>
        <w:tc>
          <w:tcPr>
            <w:tcW w:w="3232" w:type="dxa"/>
            <w:tcBorders>
              <w:top w:val="nil"/>
              <w:left w:val="nil"/>
              <w:bottom w:val="nil"/>
              <w:right w:val="nil"/>
            </w:tcBorders>
            <w:shd w:val="clear" w:color="auto" w:fill="auto"/>
            <w:hideMark/>
          </w:tcPr>
          <w:p w14:paraId="492BF872"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Contacto con caso confirmado</w:t>
            </w:r>
          </w:p>
        </w:tc>
        <w:tc>
          <w:tcPr>
            <w:tcW w:w="1010" w:type="dxa"/>
            <w:tcBorders>
              <w:top w:val="nil"/>
              <w:left w:val="nil"/>
              <w:bottom w:val="nil"/>
              <w:right w:val="nil"/>
            </w:tcBorders>
            <w:shd w:val="clear" w:color="auto" w:fill="auto"/>
            <w:noWrap/>
            <w:hideMark/>
          </w:tcPr>
          <w:p w14:paraId="36E70AC7"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108</w:t>
            </w:r>
          </w:p>
        </w:tc>
        <w:tc>
          <w:tcPr>
            <w:tcW w:w="1062" w:type="dxa"/>
            <w:tcBorders>
              <w:top w:val="nil"/>
              <w:left w:val="nil"/>
              <w:bottom w:val="nil"/>
              <w:right w:val="nil"/>
            </w:tcBorders>
            <w:shd w:val="clear" w:color="auto" w:fill="auto"/>
            <w:noWrap/>
            <w:hideMark/>
          </w:tcPr>
          <w:p w14:paraId="58953435"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66.3%</w:t>
            </w:r>
          </w:p>
        </w:tc>
      </w:tr>
      <w:tr w:rsidR="00731688" w:rsidRPr="002974BE" w14:paraId="56223EBE" w14:textId="77777777" w:rsidTr="005F269C">
        <w:trPr>
          <w:trHeight w:val="252"/>
          <w:jc w:val="center"/>
        </w:trPr>
        <w:tc>
          <w:tcPr>
            <w:tcW w:w="3232" w:type="dxa"/>
            <w:tcBorders>
              <w:top w:val="nil"/>
              <w:left w:val="nil"/>
              <w:bottom w:val="nil"/>
              <w:right w:val="nil"/>
            </w:tcBorders>
            <w:shd w:val="clear" w:color="auto" w:fill="auto"/>
            <w:hideMark/>
          </w:tcPr>
          <w:p w14:paraId="07F0E167"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Contacto con caso sospechoso</w:t>
            </w:r>
          </w:p>
        </w:tc>
        <w:tc>
          <w:tcPr>
            <w:tcW w:w="1010" w:type="dxa"/>
            <w:tcBorders>
              <w:top w:val="nil"/>
              <w:left w:val="nil"/>
              <w:bottom w:val="nil"/>
              <w:right w:val="nil"/>
            </w:tcBorders>
            <w:shd w:val="clear" w:color="auto" w:fill="auto"/>
            <w:noWrap/>
            <w:hideMark/>
          </w:tcPr>
          <w:p w14:paraId="3F03EC2F"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9</w:t>
            </w:r>
          </w:p>
        </w:tc>
        <w:tc>
          <w:tcPr>
            <w:tcW w:w="1062" w:type="dxa"/>
            <w:tcBorders>
              <w:top w:val="nil"/>
              <w:left w:val="nil"/>
              <w:bottom w:val="nil"/>
              <w:right w:val="nil"/>
            </w:tcBorders>
            <w:shd w:val="clear" w:color="auto" w:fill="auto"/>
            <w:noWrap/>
            <w:hideMark/>
          </w:tcPr>
          <w:p w14:paraId="148890A8"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5.5%</w:t>
            </w:r>
          </w:p>
        </w:tc>
      </w:tr>
      <w:tr w:rsidR="00731688" w:rsidRPr="002974BE" w14:paraId="2064EED0" w14:textId="77777777" w:rsidTr="005F269C">
        <w:trPr>
          <w:trHeight w:val="252"/>
          <w:jc w:val="center"/>
        </w:trPr>
        <w:tc>
          <w:tcPr>
            <w:tcW w:w="3232" w:type="dxa"/>
            <w:tcBorders>
              <w:top w:val="nil"/>
              <w:left w:val="nil"/>
              <w:bottom w:val="nil"/>
              <w:right w:val="nil"/>
            </w:tcBorders>
            <w:shd w:val="clear" w:color="auto" w:fill="auto"/>
            <w:hideMark/>
          </w:tcPr>
          <w:p w14:paraId="7ACDE453"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commentRangeStart w:id="1"/>
            <w:r w:rsidRPr="002974BE">
              <w:rPr>
                <w:rFonts w:eastAsia="Times New Roman" w:cstheme="minorHAnsi"/>
                <w:sz w:val="20"/>
                <w:szCs w:val="20"/>
                <w:lang w:eastAsia="es-PE"/>
              </w:rPr>
              <w:t>Caso priorizado</w:t>
            </w:r>
          </w:p>
        </w:tc>
        <w:tc>
          <w:tcPr>
            <w:tcW w:w="1010" w:type="dxa"/>
            <w:tcBorders>
              <w:top w:val="nil"/>
              <w:left w:val="nil"/>
              <w:bottom w:val="nil"/>
              <w:right w:val="nil"/>
            </w:tcBorders>
            <w:shd w:val="clear" w:color="auto" w:fill="auto"/>
            <w:noWrap/>
            <w:hideMark/>
          </w:tcPr>
          <w:p w14:paraId="47BD342C"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25</w:t>
            </w:r>
          </w:p>
        </w:tc>
        <w:tc>
          <w:tcPr>
            <w:tcW w:w="1062" w:type="dxa"/>
            <w:tcBorders>
              <w:top w:val="nil"/>
              <w:left w:val="nil"/>
              <w:bottom w:val="nil"/>
              <w:right w:val="nil"/>
            </w:tcBorders>
            <w:shd w:val="clear" w:color="auto" w:fill="auto"/>
            <w:noWrap/>
            <w:hideMark/>
          </w:tcPr>
          <w:p w14:paraId="408744BD"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15.3%</w:t>
            </w:r>
            <w:commentRangeEnd w:id="1"/>
            <w:r w:rsidR="0078619B">
              <w:rPr>
                <w:rStyle w:val="Refdecomentario"/>
              </w:rPr>
              <w:commentReference w:id="1"/>
            </w:r>
          </w:p>
        </w:tc>
      </w:tr>
      <w:tr w:rsidR="00731688" w:rsidRPr="002974BE" w14:paraId="6B03C6AC" w14:textId="77777777" w:rsidTr="005F269C">
        <w:trPr>
          <w:trHeight w:val="252"/>
          <w:jc w:val="center"/>
        </w:trPr>
        <w:tc>
          <w:tcPr>
            <w:tcW w:w="3232" w:type="dxa"/>
            <w:tcBorders>
              <w:top w:val="nil"/>
              <w:left w:val="nil"/>
              <w:bottom w:val="nil"/>
              <w:right w:val="nil"/>
            </w:tcBorders>
            <w:shd w:val="clear" w:color="auto" w:fill="auto"/>
            <w:hideMark/>
          </w:tcPr>
          <w:p w14:paraId="5B2A6778"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Ninguno</w:t>
            </w:r>
          </w:p>
        </w:tc>
        <w:tc>
          <w:tcPr>
            <w:tcW w:w="1010" w:type="dxa"/>
            <w:tcBorders>
              <w:top w:val="nil"/>
              <w:left w:val="nil"/>
              <w:bottom w:val="nil"/>
              <w:right w:val="nil"/>
            </w:tcBorders>
            <w:shd w:val="clear" w:color="auto" w:fill="auto"/>
            <w:noWrap/>
            <w:hideMark/>
          </w:tcPr>
          <w:p w14:paraId="04D0527F"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21</w:t>
            </w:r>
          </w:p>
        </w:tc>
        <w:tc>
          <w:tcPr>
            <w:tcW w:w="1062" w:type="dxa"/>
            <w:tcBorders>
              <w:top w:val="nil"/>
              <w:left w:val="nil"/>
              <w:bottom w:val="nil"/>
              <w:right w:val="nil"/>
            </w:tcBorders>
            <w:shd w:val="clear" w:color="auto" w:fill="auto"/>
            <w:noWrap/>
            <w:hideMark/>
          </w:tcPr>
          <w:p w14:paraId="46F974D4"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12.9%</w:t>
            </w:r>
          </w:p>
        </w:tc>
      </w:tr>
      <w:tr w:rsidR="00731688" w:rsidRPr="002974BE" w14:paraId="12FDD234" w14:textId="77777777" w:rsidTr="005F269C">
        <w:trPr>
          <w:trHeight w:val="252"/>
          <w:jc w:val="center"/>
        </w:trPr>
        <w:tc>
          <w:tcPr>
            <w:tcW w:w="3232" w:type="dxa"/>
            <w:tcBorders>
              <w:top w:val="nil"/>
              <w:left w:val="nil"/>
              <w:bottom w:val="nil"/>
              <w:right w:val="nil"/>
            </w:tcBorders>
            <w:shd w:val="clear" w:color="auto" w:fill="auto"/>
            <w:hideMark/>
          </w:tcPr>
          <w:p w14:paraId="0AE9B6A3"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Presencia de síntomas</w:t>
            </w:r>
          </w:p>
        </w:tc>
        <w:tc>
          <w:tcPr>
            <w:tcW w:w="1010" w:type="dxa"/>
            <w:tcBorders>
              <w:top w:val="nil"/>
              <w:left w:val="nil"/>
              <w:bottom w:val="nil"/>
              <w:right w:val="nil"/>
            </w:tcBorders>
            <w:shd w:val="clear" w:color="auto" w:fill="auto"/>
            <w:noWrap/>
            <w:hideMark/>
          </w:tcPr>
          <w:p w14:paraId="43105252" w14:textId="77777777" w:rsidR="00731688" w:rsidRPr="002974BE" w:rsidRDefault="00731688" w:rsidP="001D7F2E">
            <w:pPr>
              <w:spacing w:after="0" w:line="240" w:lineRule="auto"/>
              <w:jc w:val="both"/>
              <w:rPr>
                <w:rFonts w:eastAsia="Times New Roman" w:cstheme="minorHAnsi"/>
                <w:b/>
                <w:bCs/>
                <w:sz w:val="20"/>
                <w:szCs w:val="20"/>
                <w:lang w:eastAsia="es-PE"/>
              </w:rPr>
            </w:pPr>
          </w:p>
        </w:tc>
        <w:tc>
          <w:tcPr>
            <w:tcW w:w="1062" w:type="dxa"/>
            <w:tcBorders>
              <w:top w:val="nil"/>
              <w:left w:val="nil"/>
              <w:bottom w:val="nil"/>
              <w:right w:val="nil"/>
            </w:tcBorders>
            <w:shd w:val="clear" w:color="auto" w:fill="auto"/>
            <w:noWrap/>
            <w:hideMark/>
          </w:tcPr>
          <w:p w14:paraId="6432FC16" w14:textId="77777777" w:rsidR="00731688" w:rsidRPr="002974BE" w:rsidRDefault="00731688" w:rsidP="001D7F2E">
            <w:pPr>
              <w:spacing w:after="0" w:line="240" w:lineRule="auto"/>
              <w:jc w:val="both"/>
              <w:rPr>
                <w:rFonts w:eastAsia="Times New Roman" w:cstheme="minorHAnsi"/>
                <w:sz w:val="20"/>
                <w:szCs w:val="20"/>
                <w:lang w:eastAsia="es-PE"/>
              </w:rPr>
            </w:pPr>
          </w:p>
        </w:tc>
      </w:tr>
      <w:tr w:rsidR="00731688" w:rsidRPr="002974BE" w14:paraId="008AA001" w14:textId="77777777" w:rsidTr="005F269C">
        <w:trPr>
          <w:trHeight w:val="252"/>
          <w:jc w:val="center"/>
        </w:trPr>
        <w:tc>
          <w:tcPr>
            <w:tcW w:w="3232" w:type="dxa"/>
            <w:tcBorders>
              <w:top w:val="nil"/>
              <w:left w:val="nil"/>
              <w:bottom w:val="nil"/>
              <w:right w:val="nil"/>
            </w:tcBorders>
            <w:shd w:val="clear" w:color="auto" w:fill="auto"/>
            <w:hideMark/>
          </w:tcPr>
          <w:p w14:paraId="2E75D22F"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Si</w:t>
            </w:r>
          </w:p>
        </w:tc>
        <w:tc>
          <w:tcPr>
            <w:tcW w:w="1010" w:type="dxa"/>
            <w:tcBorders>
              <w:top w:val="nil"/>
              <w:left w:val="nil"/>
              <w:bottom w:val="nil"/>
              <w:right w:val="nil"/>
            </w:tcBorders>
            <w:shd w:val="clear" w:color="auto" w:fill="auto"/>
            <w:noWrap/>
            <w:hideMark/>
          </w:tcPr>
          <w:p w14:paraId="790D1EE0"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122</w:t>
            </w:r>
          </w:p>
        </w:tc>
        <w:tc>
          <w:tcPr>
            <w:tcW w:w="1062" w:type="dxa"/>
            <w:tcBorders>
              <w:top w:val="nil"/>
              <w:left w:val="nil"/>
              <w:bottom w:val="nil"/>
              <w:right w:val="nil"/>
            </w:tcBorders>
            <w:shd w:val="clear" w:color="auto" w:fill="auto"/>
            <w:noWrap/>
            <w:hideMark/>
          </w:tcPr>
          <w:p w14:paraId="0766745C"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74.8%</w:t>
            </w:r>
          </w:p>
        </w:tc>
      </w:tr>
      <w:tr w:rsidR="00731688" w:rsidRPr="002974BE" w14:paraId="2A2BE855" w14:textId="77777777" w:rsidTr="00CB0698">
        <w:trPr>
          <w:trHeight w:val="450"/>
          <w:jc w:val="center"/>
        </w:trPr>
        <w:tc>
          <w:tcPr>
            <w:tcW w:w="3232" w:type="dxa"/>
            <w:tcBorders>
              <w:top w:val="nil"/>
              <w:left w:val="nil"/>
              <w:bottom w:val="nil"/>
              <w:right w:val="nil"/>
            </w:tcBorders>
            <w:shd w:val="clear" w:color="auto" w:fill="auto"/>
            <w:hideMark/>
          </w:tcPr>
          <w:p w14:paraId="6128EAC7"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No</w:t>
            </w:r>
          </w:p>
        </w:tc>
        <w:tc>
          <w:tcPr>
            <w:tcW w:w="1010" w:type="dxa"/>
            <w:tcBorders>
              <w:top w:val="nil"/>
              <w:left w:val="nil"/>
              <w:bottom w:val="nil"/>
              <w:right w:val="nil"/>
            </w:tcBorders>
            <w:shd w:val="clear" w:color="auto" w:fill="auto"/>
            <w:noWrap/>
            <w:hideMark/>
          </w:tcPr>
          <w:p w14:paraId="79C3B8C5"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41</w:t>
            </w:r>
          </w:p>
        </w:tc>
        <w:tc>
          <w:tcPr>
            <w:tcW w:w="1062" w:type="dxa"/>
            <w:tcBorders>
              <w:top w:val="nil"/>
              <w:left w:val="nil"/>
              <w:bottom w:val="nil"/>
              <w:right w:val="nil"/>
            </w:tcBorders>
            <w:shd w:val="clear" w:color="auto" w:fill="auto"/>
            <w:noWrap/>
            <w:hideMark/>
          </w:tcPr>
          <w:p w14:paraId="6494591F"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25.2%</w:t>
            </w:r>
          </w:p>
        </w:tc>
      </w:tr>
      <w:tr w:rsidR="00731688" w:rsidRPr="002974BE" w14:paraId="2E58F36D" w14:textId="77777777" w:rsidTr="005F269C">
        <w:trPr>
          <w:trHeight w:val="507"/>
          <w:jc w:val="center"/>
        </w:trPr>
        <w:tc>
          <w:tcPr>
            <w:tcW w:w="3232" w:type="dxa"/>
            <w:tcBorders>
              <w:top w:val="nil"/>
              <w:left w:val="nil"/>
              <w:bottom w:val="nil"/>
              <w:right w:val="nil"/>
            </w:tcBorders>
            <w:shd w:val="clear" w:color="auto" w:fill="auto"/>
            <w:hideMark/>
          </w:tcPr>
          <w:p w14:paraId="717CD832"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Prueba de descarte última infección o control</w:t>
            </w:r>
          </w:p>
        </w:tc>
        <w:tc>
          <w:tcPr>
            <w:tcW w:w="1010" w:type="dxa"/>
            <w:tcBorders>
              <w:top w:val="nil"/>
              <w:left w:val="nil"/>
              <w:bottom w:val="nil"/>
              <w:right w:val="nil"/>
            </w:tcBorders>
            <w:shd w:val="clear" w:color="auto" w:fill="auto"/>
            <w:noWrap/>
            <w:hideMark/>
          </w:tcPr>
          <w:p w14:paraId="5D7EF5C4" w14:textId="77777777" w:rsidR="00731688" w:rsidRPr="002974BE" w:rsidRDefault="00731688" w:rsidP="001D7F2E">
            <w:pPr>
              <w:spacing w:after="0" w:line="240" w:lineRule="auto"/>
              <w:jc w:val="both"/>
              <w:rPr>
                <w:rFonts w:eastAsia="Times New Roman" w:cstheme="minorHAnsi"/>
                <w:b/>
                <w:bCs/>
                <w:sz w:val="20"/>
                <w:szCs w:val="20"/>
                <w:lang w:eastAsia="es-PE"/>
              </w:rPr>
            </w:pPr>
          </w:p>
        </w:tc>
        <w:tc>
          <w:tcPr>
            <w:tcW w:w="1062" w:type="dxa"/>
            <w:tcBorders>
              <w:top w:val="nil"/>
              <w:left w:val="nil"/>
              <w:bottom w:val="nil"/>
              <w:right w:val="nil"/>
            </w:tcBorders>
            <w:shd w:val="clear" w:color="auto" w:fill="auto"/>
            <w:noWrap/>
            <w:hideMark/>
          </w:tcPr>
          <w:p w14:paraId="6AA746ED" w14:textId="77777777" w:rsidR="00731688" w:rsidRPr="002974BE" w:rsidRDefault="00731688" w:rsidP="001D7F2E">
            <w:pPr>
              <w:spacing w:after="0" w:line="240" w:lineRule="auto"/>
              <w:jc w:val="both"/>
              <w:rPr>
                <w:rFonts w:eastAsia="Times New Roman" w:cstheme="minorHAnsi"/>
                <w:sz w:val="20"/>
                <w:szCs w:val="20"/>
                <w:lang w:eastAsia="es-PE"/>
              </w:rPr>
            </w:pPr>
          </w:p>
        </w:tc>
      </w:tr>
      <w:tr w:rsidR="00731688" w:rsidRPr="002974BE" w14:paraId="4BFBB918" w14:textId="77777777" w:rsidTr="005F269C">
        <w:trPr>
          <w:trHeight w:val="252"/>
          <w:jc w:val="center"/>
        </w:trPr>
        <w:tc>
          <w:tcPr>
            <w:tcW w:w="3232" w:type="dxa"/>
            <w:tcBorders>
              <w:top w:val="nil"/>
              <w:left w:val="nil"/>
              <w:bottom w:val="nil"/>
              <w:right w:val="nil"/>
            </w:tcBorders>
            <w:shd w:val="clear" w:color="auto" w:fill="auto"/>
            <w:hideMark/>
          </w:tcPr>
          <w:p w14:paraId="257F63B5"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Prueba serológica</w:t>
            </w:r>
          </w:p>
        </w:tc>
        <w:tc>
          <w:tcPr>
            <w:tcW w:w="1010" w:type="dxa"/>
            <w:tcBorders>
              <w:top w:val="nil"/>
              <w:left w:val="nil"/>
              <w:bottom w:val="nil"/>
              <w:right w:val="nil"/>
            </w:tcBorders>
            <w:shd w:val="clear" w:color="auto" w:fill="auto"/>
            <w:noWrap/>
            <w:hideMark/>
          </w:tcPr>
          <w:p w14:paraId="2320D8B1"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7</w:t>
            </w:r>
          </w:p>
        </w:tc>
        <w:tc>
          <w:tcPr>
            <w:tcW w:w="1062" w:type="dxa"/>
            <w:tcBorders>
              <w:top w:val="nil"/>
              <w:left w:val="nil"/>
              <w:bottom w:val="nil"/>
              <w:right w:val="nil"/>
            </w:tcBorders>
            <w:shd w:val="clear" w:color="auto" w:fill="auto"/>
            <w:noWrap/>
            <w:hideMark/>
          </w:tcPr>
          <w:p w14:paraId="3E25D225"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4.3%</w:t>
            </w:r>
          </w:p>
        </w:tc>
      </w:tr>
      <w:tr w:rsidR="00731688" w:rsidRPr="002974BE" w14:paraId="1DA295E5" w14:textId="77777777" w:rsidTr="005F269C">
        <w:trPr>
          <w:trHeight w:val="252"/>
          <w:jc w:val="center"/>
        </w:trPr>
        <w:tc>
          <w:tcPr>
            <w:tcW w:w="3232" w:type="dxa"/>
            <w:tcBorders>
              <w:top w:val="nil"/>
              <w:left w:val="nil"/>
              <w:bottom w:val="nil"/>
              <w:right w:val="nil"/>
            </w:tcBorders>
            <w:shd w:val="clear" w:color="auto" w:fill="auto"/>
            <w:hideMark/>
          </w:tcPr>
          <w:p w14:paraId="12F8BDE4"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Prueba antigénica</w:t>
            </w:r>
          </w:p>
        </w:tc>
        <w:tc>
          <w:tcPr>
            <w:tcW w:w="1010" w:type="dxa"/>
            <w:tcBorders>
              <w:top w:val="nil"/>
              <w:left w:val="nil"/>
              <w:bottom w:val="nil"/>
              <w:right w:val="nil"/>
            </w:tcBorders>
            <w:shd w:val="clear" w:color="auto" w:fill="auto"/>
            <w:noWrap/>
            <w:hideMark/>
          </w:tcPr>
          <w:p w14:paraId="6B998414"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67</w:t>
            </w:r>
          </w:p>
        </w:tc>
        <w:tc>
          <w:tcPr>
            <w:tcW w:w="1062" w:type="dxa"/>
            <w:tcBorders>
              <w:top w:val="nil"/>
              <w:left w:val="nil"/>
              <w:bottom w:val="nil"/>
              <w:right w:val="nil"/>
            </w:tcBorders>
            <w:shd w:val="clear" w:color="auto" w:fill="auto"/>
            <w:noWrap/>
            <w:hideMark/>
          </w:tcPr>
          <w:p w14:paraId="7B6CF291"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41.1%</w:t>
            </w:r>
          </w:p>
        </w:tc>
      </w:tr>
      <w:tr w:rsidR="00731688" w:rsidRPr="002974BE" w14:paraId="3CB78B68" w14:textId="77777777" w:rsidTr="005F269C">
        <w:trPr>
          <w:trHeight w:val="252"/>
          <w:jc w:val="center"/>
        </w:trPr>
        <w:tc>
          <w:tcPr>
            <w:tcW w:w="3232" w:type="dxa"/>
            <w:tcBorders>
              <w:top w:val="nil"/>
              <w:left w:val="nil"/>
              <w:bottom w:val="nil"/>
              <w:right w:val="nil"/>
            </w:tcBorders>
            <w:shd w:val="clear" w:color="auto" w:fill="auto"/>
            <w:hideMark/>
          </w:tcPr>
          <w:p w14:paraId="015D375B"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Prueba molecular (RT - PCR)</w:t>
            </w:r>
          </w:p>
        </w:tc>
        <w:tc>
          <w:tcPr>
            <w:tcW w:w="1010" w:type="dxa"/>
            <w:tcBorders>
              <w:top w:val="nil"/>
              <w:left w:val="nil"/>
              <w:bottom w:val="nil"/>
              <w:right w:val="nil"/>
            </w:tcBorders>
            <w:shd w:val="clear" w:color="auto" w:fill="auto"/>
            <w:noWrap/>
            <w:hideMark/>
          </w:tcPr>
          <w:p w14:paraId="70214445"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89</w:t>
            </w:r>
          </w:p>
        </w:tc>
        <w:tc>
          <w:tcPr>
            <w:tcW w:w="1062" w:type="dxa"/>
            <w:tcBorders>
              <w:top w:val="nil"/>
              <w:left w:val="nil"/>
              <w:bottom w:val="nil"/>
              <w:right w:val="nil"/>
            </w:tcBorders>
            <w:shd w:val="clear" w:color="auto" w:fill="auto"/>
            <w:noWrap/>
            <w:hideMark/>
          </w:tcPr>
          <w:p w14:paraId="4744FD55"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54.6%</w:t>
            </w:r>
          </w:p>
        </w:tc>
      </w:tr>
      <w:tr w:rsidR="00731688" w:rsidRPr="002974BE" w14:paraId="2389D97B" w14:textId="77777777" w:rsidTr="005F269C">
        <w:trPr>
          <w:trHeight w:val="252"/>
          <w:jc w:val="center"/>
        </w:trPr>
        <w:tc>
          <w:tcPr>
            <w:tcW w:w="3232" w:type="dxa"/>
            <w:tcBorders>
              <w:top w:val="nil"/>
              <w:left w:val="nil"/>
              <w:bottom w:val="nil"/>
              <w:right w:val="nil"/>
            </w:tcBorders>
            <w:shd w:val="clear" w:color="auto" w:fill="auto"/>
            <w:hideMark/>
          </w:tcPr>
          <w:p w14:paraId="686BF357" w14:textId="77777777" w:rsidR="00731688" w:rsidRPr="002974BE" w:rsidRDefault="00731688" w:rsidP="001D7F2E">
            <w:pPr>
              <w:spacing w:after="0" w:line="240" w:lineRule="auto"/>
              <w:jc w:val="both"/>
              <w:rPr>
                <w:rFonts w:eastAsia="Times New Roman" w:cstheme="minorHAnsi"/>
                <w:b/>
                <w:bCs/>
                <w:sz w:val="20"/>
                <w:szCs w:val="20"/>
                <w:lang w:eastAsia="es-PE"/>
              </w:rPr>
            </w:pPr>
            <w:r w:rsidRPr="002974BE">
              <w:rPr>
                <w:rFonts w:eastAsia="Times New Roman" w:cstheme="minorHAnsi"/>
                <w:b/>
                <w:bCs/>
                <w:sz w:val="20"/>
                <w:szCs w:val="20"/>
                <w:lang w:eastAsia="es-PE"/>
              </w:rPr>
              <w:t>Resultado de última prueba</w:t>
            </w:r>
          </w:p>
        </w:tc>
        <w:tc>
          <w:tcPr>
            <w:tcW w:w="1010" w:type="dxa"/>
            <w:tcBorders>
              <w:top w:val="nil"/>
              <w:left w:val="nil"/>
              <w:bottom w:val="nil"/>
              <w:right w:val="nil"/>
            </w:tcBorders>
            <w:shd w:val="clear" w:color="auto" w:fill="auto"/>
            <w:noWrap/>
            <w:hideMark/>
          </w:tcPr>
          <w:p w14:paraId="1063334A" w14:textId="77777777" w:rsidR="00731688" w:rsidRPr="002974BE" w:rsidRDefault="00731688" w:rsidP="001D7F2E">
            <w:pPr>
              <w:spacing w:after="0" w:line="240" w:lineRule="auto"/>
              <w:jc w:val="both"/>
              <w:rPr>
                <w:rFonts w:eastAsia="Times New Roman" w:cstheme="minorHAnsi"/>
                <w:b/>
                <w:bCs/>
                <w:sz w:val="20"/>
                <w:szCs w:val="20"/>
                <w:lang w:eastAsia="es-PE"/>
              </w:rPr>
            </w:pPr>
          </w:p>
        </w:tc>
        <w:tc>
          <w:tcPr>
            <w:tcW w:w="1062" w:type="dxa"/>
            <w:tcBorders>
              <w:top w:val="nil"/>
              <w:left w:val="nil"/>
              <w:bottom w:val="nil"/>
              <w:right w:val="nil"/>
            </w:tcBorders>
            <w:shd w:val="clear" w:color="auto" w:fill="auto"/>
            <w:noWrap/>
            <w:hideMark/>
          </w:tcPr>
          <w:p w14:paraId="48B359D3" w14:textId="77777777" w:rsidR="00731688" w:rsidRPr="002974BE" w:rsidRDefault="00731688" w:rsidP="001D7F2E">
            <w:pPr>
              <w:spacing w:after="0" w:line="240" w:lineRule="auto"/>
              <w:jc w:val="both"/>
              <w:rPr>
                <w:rFonts w:eastAsia="Times New Roman" w:cstheme="minorHAnsi"/>
                <w:sz w:val="20"/>
                <w:szCs w:val="20"/>
                <w:lang w:eastAsia="es-PE"/>
              </w:rPr>
            </w:pPr>
          </w:p>
        </w:tc>
      </w:tr>
      <w:tr w:rsidR="00731688" w:rsidRPr="002974BE" w14:paraId="78CC3F79" w14:textId="77777777" w:rsidTr="005F269C">
        <w:trPr>
          <w:trHeight w:val="252"/>
          <w:jc w:val="center"/>
        </w:trPr>
        <w:tc>
          <w:tcPr>
            <w:tcW w:w="3232" w:type="dxa"/>
            <w:tcBorders>
              <w:top w:val="nil"/>
              <w:left w:val="nil"/>
              <w:bottom w:val="nil"/>
              <w:right w:val="nil"/>
            </w:tcBorders>
            <w:shd w:val="clear" w:color="auto" w:fill="auto"/>
            <w:hideMark/>
          </w:tcPr>
          <w:p w14:paraId="7A6917C0"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r w:rsidRPr="002974BE">
              <w:rPr>
                <w:rFonts w:eastAsia="Times New Roman" w:cstheme="minorHAnsi"/>
                <w:sz w:val="20"/>
                <w:szCs w:val="20"/>
                <w:lang w:eastAsia="es-PE"/>
              </w:rPr>
              <w:t>Positivo</w:t>
            </w:r>
          </w:p>
        </w:tc>
        <w:tc>
          <w:tcPr>
            <w:tcW w:w="1010" w:type="dxa"/>
            <w:tcBorders>
              <w:top w:val="nil"/>
              <w:left w:val="nil"/>
              <w:bottom w:val="nil"/>
              <w:right w:val="nil"/>
            </w:tcBorders>
            <w:shd w:val="clear" w:color="auto" w:fill="auto"/>
            <w:noWrap/>
            <w:hideMark/>
          </w:tcPr>
          <w:p w14:paraId="2CC11950"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120</w:t>
            </w:r>
          </w:p>
        </w:tc>
        <w:tc>
          <w:tcPr>
            <w:tcW w:w="1062" w:type="dxa"/>
            <w:tcBorders>
              <w:top w:val="nil"/>
              <w:left w:val="nil"/>
              <w:bottom w:val="nil"/>
              <w:right w:val="nil"/>
            </w:tcBorders>
            <w:shd w:val="clear" w:color="auto" w:fill="auto"/>
            <w:noWrap/>
            <w:hideMark/>
          </w:tcPr>
          <w:p w14:paraId="06F4CF95"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73.6%</w:t>
            </w:r>
          </w:p>
        </w:tc>
      </w:tr>
      <w:tr w:rsidR="00731688" w:rsidRPr="002974BE" w14:paraId="30A19D1E" w14:textId="77777777" w:rsidTr="005F269C">
        <w:trPr>
          <w:trHeight w:val="252"/>
          <w:jc w:val="center"/>
        </w:trPr>
        <w:tc>
          <w:tcPr>
            <w:tcW w:w="3232" w:type="dxa"/>
            <w:tcBorders>
              <w:top w:val="nil"/>
              <w:left w:val="nil"/>
              <w:bottom w:val="single" w:sz="4" w:space="0" w:color="auto"/>
              <w:right w:val="nil"/>
            </w:tcBorders>
            <w:shd w:val="clear" w:color="auto" w:fill="auto"/>
            <w:hideMark/>
          </w:tcPr>
          <w:p w14:paraId="4EABF593" w14:textId="77777777" w:rsidR="00731688" w:rsidRPr="002974BE" w:rsidRDefault="00731688" w:rsidP="001D7F2E">
            <w:pPr>
              <w:spacing w:after="0" w:line="240" w:lineRule="auto"/>
              <w:ind w:firstLineChars="200" w:firstLine="400"/>
              <w:jc w:val="both"/>
              <w:rPr>
                <w:rFonts w:eastAsia="Times New Roman" w:cstheme="minorHAnsi"/>
                <w:sz w:val="20"/>
                <w:szCs w:val="20"/>
                <w:lang w:eastAsia="es-PE"/>
              </w:rPr>
            </w:pPr>
            <w:commentRangeStart w:id="2"/>
            <w:r w:rsidRPr="002974BE">
              <w:rPr>
                <w:rFonts w:eastAsia="Times New Roman" w:cstheme="minorHAnsi"/>
                <w:sz w:val="20"/>
                <w:szCs w:val="20"/>
                <w:lang w:eastAsia="es-PE"/>
              </w:rPr>
              <w:t>Negativo</w:t>
            </w:r>
          </w:p>
        </w:tc>
        <w:tc>
          <w:tcPr>
            <w:tcW w:w="1010" w:type="dxa"/>
            <w:tcBorders>
              <w:top w:val="nil"/>
              <w:left w:val="nil"/>
              <w:bottom w:val="single" w:sz="4" w:space="0" w:color="auto"/>
              <w:right w:val="nil"/>
            </w:tcBorders>
            <w:shd w:val="clear" w:color="auto" w:fill="auto"/>
            <w:noWrap/>
            <w:hideMark/>
          </w:tcPr>
          <w:p w14:paraId="35F8E28B"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43</w:t>
            </w:r>
          </w:p>
        </w:tc>
        <w:tc>
          <w:tcPr>
            <w:tcW w:w="1062" w:type="dxa"/>
            <w:tcBorders>
              <w:top w:val="nil"/>
              <w:left w:val="nil"/>
              <w:bottom w:val="single" w:sz="4" w:space="0" w:color="auto"/>
              <w:right w:val="nil"/>
            </w:tcBorders>
            <w:shd w:val="clear" w:color="auto" w:fill="auto"/>
            <w:noWrap/>
            <w:hideMark/>
          </w:tcPr>
          <w:p w14:paraId="2817B5AE" w14:textId="77777777" w:rsidR="00731688" w:rsidRPr="002974BE" w:rsidRDefault="00731688" w:rsidP="001D7F2E">
            <w:pPr>
              <w:spacing w:after="0" w:line="240" w:lineRule="auto"/>
              <w:jc w:val="both"/>
              <w:rPr>
                <w:rFonts w:eastAsia="Times New Roman" w:cstheme="minorHAnsi"/>
                <w:sz w:val="20"/>
                <w:szCs w:val="20"/>
                <w:lang w:eastAsia="es-PE"/>
              </w:rPr>
            </w:pPr>
            <w:r w:rsidRPr="002974BE">
              <w:rPr>
                <w:rFonts w:eastAsia="Times New Roman" w:cstheme="minorHAnsi"/>
                <w:sz w:val="20"/>
                <w:szCs w:val="20"/>
                <w:lang w:eastAsia="es-PE"/>
              </w:rPr>
              <w:t>26.4%</w:t>
            </w:r>
            <w:commentRangeEnd w:id="2"/>
            <w:r w:rsidR="00CB0698">
              <w:rPr>
                <w:rStyle w:val="Refdecomentario"/>
              </w:rPr>
              <w:commentReference w:id="2"/>
            </w:r>
          </w:p>
        </w:tc>
      </w:tr>
    </w:tbl>
    <w:p w14:paraId="4315579F" w14:textId="77777777" w:rsidR="00731688" w:rsidRPr="002974BE" w:rsidRDefault="00731688" w:rsidP="001D7F2E">
      <w:pPr>
        <w:pStyle w:val="Textoindependiente"/>
        <w:spacing w:before="0" w:after="0" w:line="360" w:lineRule="auto"/>
        <w:jc w:val="both"/>
        <w:rPr>
          <w:rFonts w:cstheme="minorHAnsi"/>
          <w:sz w:val="22"/>
          <w:szCs w:val="22"/>
        </w:rPr>
      </w:pPr>
    </w:p>
    <w:p w14:paraId="24CF52CB" w14:textId="77777777" w:rsidR="00731688" w:rsidRPr="002974BE" w:rsidRDefault="00731688" w:rsidP="001D7F2E">
      <w:pPr>
        <w:pStyle w:val="Textoindependiente"/>
        <w:spacing w:before="0" w:after="0" w:line="360" w:lineRule="auto"/>
        <w:jc w:val="both"/>
        <w:rPr>
          <w:rFonts w:cstheme="minorHAnsi"/>
          <w:sz w:val="22"/>
          <w:szCs w:val="22"/>
        </w:rPr>
      </w:pPr>
    </w:p>
    <w:p w14:paraId="40A7FC07" w14:textId="2E29CBE5" w:rsidR="00731688" w:rsidRDefault="00731688" w:rsidP="001D7F2E">
      <w:pPr>
        <w:pStyle w:val="Textoindependiente"/>
        <w:spacing w:before="0" w:after="0" w:line="360" w:lineRule="auto"/>
        <w:jc w:val="both"/>
        <w:rPr>
          <w:rFonts w:cstheme="minorHAnsi"/>
          <w:sz w:val="22"/>
          <w:szCs w:val="22"/>
        </w:rPr>
      </w:pPr>
      <w:r w:rsidRPr="002974BE">
        <w:rPr>
          <w:rFonts w:cstheme="minorHAnsi"/>
          <w:sz w:val="22"/>
          <w:szCs w:val="22"/>
        </w:rPr>
        <w:t xml:space="preserve">Los resultados de los ensayos serológicos </w:t>
      </w:r>
      <w:proofErr w:type="spellStart"/>
      <w:r w:rsidRPr="002974BE">
        <w:rPr>
          <w:rFonts w:cstheme="minorHAnsi"/>
          <w:sz w:val="22"/>
          <w:szCs w:val="22"/>
        </w:rPr>
        <w:t>multiangenicos</w:t>
      </w:r>
      <w:proofErr w:type="spellEnd"/>
      <w:r w:rsidRPr="002974BE">
        <w:rPr>
          <w:rFonts w:cstheme="minorHAnsi"/>
          <w:sz w:val="22"/>
          <w:szCs w:val="22"/>
        </w:rPr>
        <w:t xml:space="preserve"> asistidos por microesferas, detecto la presencia de anticuerpos contra los antígenos de SARS-CoV-2</w:t>
      </w:r>
      <w:r w:rsidR="00CB0698">
        <w:rPr>
          <w:rFonts w:cstheme="minorHAnsi"/>
          <w:sz w:val="22"/>
          <w:szCs w:val="22"/>
        </w:rPr>
        <w:t xml:space="preserve">  S</w:t>
      </w:r>
      <w:r w:rsidRPr="002974BE">
        <w:rPr>
          <w:rFonts w:cstheme="minorHAnsi"/>
          <w:sz w:val="22"/>
          <w:szCs w:val="22"/>
        </w:rPr>
        <w:t xml:space="preserve">, RBD, NP y </w:t>
      </w:r>
      <w:proofErr w:type="spellStart"/>
      <w:r w:rsidRPr="002974BE">
        <w:rPr>
          <w:rFonts w:cstheme="minorHAnsi"/>
          <w:sz w:val="22"/>
          <w:szCs w:val="22"/>
        </w:rPr>
        <w:t>Mpro</w:t>
      </w:r>
      <w:proofErr w:type="spellEnd"/>
      <w:r w:rsidRPr="002974BE">
        <w:rPr>
          <w:rFonts w:cstheme="minorHAnsi"/>
          <w:sz w:val="22"/>
          <w:szCs w:val="22"/>
        </w:rPr>
        <w:t xml:space="preserve"> </w:t>
      </w:r>
      <w:r w:rsidRPr="002974BE">
        <w:rPr>
          <w:rFonts w:cstheme="minorHAnsi"/>
          <w:strike/>
          <w:sz w:val="22"/>
          <w:szCs w:val="22"/>
        </w:rPr>
        <w:t>en 163 pacientes, de los cuales 120 fueron positivos y 43 negativos a COVID-19</w:t>
      </w:r>
      <w:r w:rsidRPr="002974BE">
        <w:rPr>
          <w:rFonts w:cstheme="minorHAnsi"/>
          <w:color w:val="FF0000"/>
          <w:sz w:val="22"/>
          <w:szCs w:val="22"/>
        </w:rPr>
        <w:t xml:space="preserve"> en los 163 </w:t>
      </w:r>
      <w:r w:rsidRPr="00CB0698">
        <w:rPr>
          <w:rFonts w:cstheme="minorHAnsi"/>
          <w:color w:val="FF0000"/>
          <w:sz w:val="22"/>
          <w:szCs w:val="22"/>
          <w:highlight w:val="yellow"/>
        </w:rPr>
        <w:t>trabajadores</w:t>
      </w:r>
      <w:r w:rsidRPr="002974BE">
        <w:rPr>
          <w:rFonts w:cstheme="minorHAnsi"/>
          <w:color w:val="FF0000"/>
          <w:sz w:val="22"/>
          <w:szCs w:val="22"/>
        </w:rPr>
        <w:t xml:space="preserve"> que formaron parte del estudio, de los cuales 120 tienen el antecedente de infección por SARS-CoV-2 y 43 manifestaron que nunca tuvieron la </w:t>
      </w:r>
      <w:proofErr w:type="spellStart"/>
      <w:r w:rsidRPr="002974BE">
        <w:rPr>
          <w:rFonts w:cstheme="minorHAnsi"/>
          <w:color w:val="FF0000"/>
          <w:sz w:val="22"/>
          <w:szCs w:val="22"/>
        </w:rPr>
        <w:t>infeccion</w:t>
      </w:r>
      <w:proofErr w:type="spellEnd"/>
      <w:r w:rsidRPr="002974BE">
        <w:rPr>
          <w:rFonts w:cstheme="minorHAnsi"/>
          <w:sz w:val="22"/>
          <w:szCs w:val="22"/>
        </w:rPr>
        <w:t xml:space="preserve">; se procesó cada muestra con los isotipos IgA, IgG e IgM, </w:t>
      </w:r>
      <w:commentRangeStart w:id="3"/>
      <w:r w:rsidRPr="002974BE">
        <w:rPr>
          <w:rFonts w:cstheme="minorHAnsi"/>
          <w:sz w:val="22"/>
          <w:szCs w:val="22"/>
        </w:rPr>
        <w:t xml:space="preserve">mostrando claramente diferencia en la señal obtenida para los anticuerpos IgG contra cuatro antígenos </w:t>
      </w:r>
      <w:commentRangeEnd w:id="3"/>
      <w:r w:rsidR="00CB0698">
        <w:rPr>
          <w:rStyle w:val="Refdecomentario"/>
        </w:rPr>
        <w:commentReference w:id="3"/>
      </w:r>
      <w:r w:rsidRPr="002974BE">
        <w:rPr>
          <w:rFonts w:cstheme="minorHAnsi"/>
          <w:sz w:val="22"/>
          <w:szCs w:val="22"/>
        </w:rPr>
        <w:t xml:space="preserve">(Tabla 4 y Figura 1). </w:t>
      </w:r>
    </w:p>
    <w:p w14:paraId="53E11B5D" w14:textId="12696CE0" w:rsidR="00613F21" w:rsidRDefault="00613F21" w:rsidP="001D7F2E">
      <w:pPr>
        <w:pStyle w:val="Textoindependiente"/>
        <w:spacing w:before="0" w:after="0" w:line="360" w:lineRule="auto"/>
        <w:jc w:val="both"/>
        <w:rPr>
          <w:rFonts w:cstheme="minorHAnsi"/>
          <w:sz w:val="22"/>
          <w:szCs w:val="22"/>
        </w:rPr>
      </w:pPr>
    </w:p>
    <w:p w14:paraId="71827CA7" w14:textId="3518C648" w:rsidR="00613F21" w:rsidRDefault="00613F21" w:rsidP="001D7F2E">
      <w:pPr>
        <w:pStyle w:val="Textoindependiente"/>
        <w:spacing w:before="0" w:after="0" w:line="360" w:lineRule="auto"/>
        <w:jc w:val="both"/>
        <w:rPr>
          <w:rFonts w:cstheme="minorHAnsi"/>
          <w:sz w:val="22"/>
          <w:szCs w:val="22"/>
        </w:rPr>
      </w:pPr>
    </w:p>
    <w:p w14:paraId="127B9093" w14:textId="77777777" w:rsidR="00613F21" w:rsidRPr="002974BE" w:rsidRDefault="00613F21" w:rsidP="001D7F2E">
      <w:pPr>
        <w:pStyle w:val="Textoindependiente"/>
        <w:spacing w:before="0" w:after="0" w:line="360" w:lineRule="auto"/>
        <w:jc w:val="both"/>
        <w:rPr>
          <w:rFonts w:cstheme="minorHAnsi"/>
          <w:sz w:val="22"/>
          <w:szCs w:val="22"/>
        </w:rPr>
      </w:pPr>
    </w:p>
    <w:p w14:paraId="077C80EC" w14:textId="77777777" w:rsidR="00731688" w:rsidRPr="002974BE" w:rsidRDefault="00731688" w:rsidP="001D7F2E">
      <w:pPr>
        <w:pStyle w:val="Textoindependiente"/>
        <w:spacing w:before="0" w:after="0"/>
        <w:jc w:val="both"/>
        <w:rPr>
          <w:rFonts w:cstheme="minorHAnsi"/>
          <w:sz w:val="22"/>
          <w:szCs w:val="22"/>
        </w:rPr>
      </w:pPr>
    </w:p>
    <w:p w14:paraId="4E6A922F" w14:textId="77777777" w:rsidR="00731688" w:rsidRPr="002974BE" w:rsidRDefault="00731688" w:rsidP="001D7F2E">
      <w:pPr>
        <w:pStyle w:val="Textoindependiente"/>
        <w:spacing w:before="0" w:after="0" w:line="276" w:lineRule="auto"/>
        <w:jc w:val="both"/>
        <w:rPr>
          <w:rFonts w:cstheme="minorHAnsi"/>
          <w:b/>
          <w:sz w:val="22"/>
          <w:szCs w:val="22"/>
        </w:rPr>
      </w:pPr>
      <w:r w:rsidRPr="002974BE">
        <w:rPr>
          <w:rFonts w:cstheme="minorHAnsi"/>
          <w:b/>
          <w:sz w:val="22"/>
          <w:szCs w:val="22"/>
        </w:rPr>
        <w:lastRenderedPageBreak/>
        <w:t xml:space="preserve">Tabla 04. Respuesta de anticuerpos contra 4 antígenos del virus SARS-Cov-2, de los trabajadores vacunos contra SARS-Cov-2 del INSNSB. </w:t>
      </w:r>
    </w:p>
    <w:tbl>
      <w:tblPr>
        <w:tblW w:w="5300" w:type="pct"/>
        <w:tblCellMar>
          <w:left w:w="70" w:type="dxa"/>
          <w:right w:w="70" w:type="dxa"/>
        </w:tblCellMar>
        <w:tblLook w:val="04A0" w:firstRow="1" w:lastRow="0" w:firstColumn="1" w:lastColumn="0" w:noHBand="0" w:noVBand="1"/>
      </w:tblPr>
      <w:tblGrid>
        <w:gridCol w:w="1365"/>
        <w:gridCol w:w="1323"/>
        <w:gridCol w:w="1392"/>
        <w:gridCol w:w="1323"/>
        <w:gridCol w:w="1323"/>
        <w:gridCol w:w="1323"/>
        <w:gridCol w:w="1319"/>
      </w:tblGrid>
      <w:tr w:rsidR="00731688" w:rsidRPr="002974BE" w14:paraId="0216544B" w14:textId="77777777" w:rsidTr="005F269C">
        <w:trPr>
          <w:trHeight w:val="254"/>
        </w:trPr>
        <w:tc>
          <w:tcPr>
            <w:tcW w:w="729" w:type="pct"/>
            <w:vMerge w:val="restart"/>
            <w:tcBorders>
              <w:top w:val="single" w:sz="4" w:space="0" w:color="auto"/>
              <w:left w:val="nil"/>
              <w:bottom w:val="single" w:sz="4" w:space="0" w:color="000000"/>
              <w:right w:val="nil"/>
            </w:tcBorders>
            <w:shd w:val="clear" w:color="auto" w:fill="auto"/>
            <w:vAlign w:val="center"/>
            <w:hideMark/>
          </w:tcPr>
          <w:p w14:paraId="6976F49B"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Proteínas del virus</w:t>
            </w:r>
          </w:p>
        </w:tc>
        <w:tc>
          <w:tcPr>
            <w:tcW w:w="4271" w:type="pct"/>
            <w:gridSpan w:val="6"/>
            <w:tcBorders>
              <w:top w:val="single" w:sz="4" w:space="0" w:color="auto"/>
              <w:left w:val="nil"/>
              <w:bottom w:val="single" w:sz="4" w:space="0" w:color="auto"/>
              <w:right w:val="nil"/>
            </w:tcBorders>
            <w:shd w:val="clear" w:color="auto" w:fill="auto"/>
            <w:hideMark/>
          </w:tcPr>
          <w:p w14:paraId="1392CEDB"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proofErr w:type="spellStart"/>
            <w:r w:rsidRPr="002974BE">
              <w:rPr>
                <w:rFonts w:eastAsia="Times New Roman" w:cstheme="minorHAnsi"/>
                <w:b/>
                <w:bCs/>
                <w:color w:val="000000"/>
                <w:sz w:val="18"/>
                <w:szCs w:val="18"/>
                <w:lang w:eastAsia="es-PE"/>
              </w:rPr>
              <w:t>Aanticuerpos</w:t>
            </w:r>
            <w:proofErr w:type="spellEnd"/>
            <w:r w:rsidRPr="002974BE">
              <w:rPr>
                <w:rFonts w:eastAsia="Times New Roman" w:cstheme="minorHAnsi"/>
                <w:b/>
                <w:bCs/>
                <w:color w:val="000000"/>
                <w:sz w:val="18"/>
                <w:szCs w:val="18"/>
                <w:lang w:eastAsia="es-PE"/>
              </w:rPr>
              <w:t xml:space="preserve"> </w:t>
            </w:r>
            <w:proofErr w:type="gramStart"/>
            <w:r w:rsidRPr="002974BE">
              <w:rPr>
                <w:rFonts w:eastAsia="Times New Roman" w:cstheme="minorHAnsi"/>
                <w:b/>
                <w:bCs/>
                <w:color w:val="000000"/>
                <w:sz w:val="18"/>
                <w:szCs w:val="18"/>
                <w:lang w:eastAsia="es-PE"/>
              </w:rPr>
              <w:t>anti SARS</w:t>
            </w:r>
            <w:proofErr w:type="gramEnd"/>
            <w:r w:rsidRPr="002974BE">
              <w:rPr>
                <w:rFonts w:eastAsia="Times New Roman" w:cstheme="minorHAnsi"/>
                <w:b/>
                <w:bCs/>
                <w:color w:val="000000"/>
                <w:sz w:val="18"/>
                <w:szCs w:val="18"/>
                <w:lang w:eastAsia="es-PE"/>
              </w:rPr>
              <w:t xml:space="preserve">-CoV-2 </w:t>
            </w:r>
          </w:p>
        </w:tc>
      </w:tr>
      <w:tr w:rsidR="00731688" w:rsidRPr="002974BE" w14:paraId="2A844F31" w14:textId="77777777" w:rsidTr="005F269C">
        <w:trPr>
          <w:trHeight w:val="254"/>
        </w:trPr>
        <w:tc>
          <w:tcPr>
            <w:tcW w:w="729" w:type="pct"/>
            <w:vMerge/>
            <w:tcBorders>
              <w:top w:val="single" w:sz="4" w:space="0" w:color="auto"/>
              <w:left w:val="nil"/>
              <w:bottom w:val="single" w:sz="4" w:space="0" w:color="000000"/>
              <w:right w:val="nil"/>
            </w:tcBorders>
            <w:vAlign w:val="center"/>
            <w:hideMark/>
          </w:tcPr>
          <w:p w14:paraId="2DAC8595"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p>
        </w:tc>
        <w:tc>
          <w:tcPr>
            <w:tcW w:w="1449" w:type="pct"/>
            <w:gridSpan w:val="2"/>
            <w:tcBorders>
              <w:top w:val="single" w:sz="4" w:space="0" w:color="auto"/>
              <w:left w:val="nil"/>
              <w:bottom w:val="single" w:sz="4" w:space="0" w:color="auto"/>
              <w:right w:val="nil"/>
            </w:tcBorders>
            <w:shd w:val="clear" w:color="auto" w:fill="auto"/>
            <w:hideMark/>
          </w:tcPr>
          <w:p w14:paraId="4E8D71C8"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IgG</w:t>
            </w:r>
          </w:p>
        </w:tc>
        <w:tc>
          <w:tcPr>
            <w:tcW w:w="1412" w:type="pct"/>
            <w:gridSpan w:val="2"/>
            <w:tcBorders>
              <w:top w:val="single" w:sz="4" w:space="0" w:color="auto"/>
              <w:left w:val="nil"/>
              <w:bottom w:val="single" w:sz="4" w:space="0" w:color="auto"/>
              <w:right w:val="nil"/>
            </w:tcBorders>
            <w:shd w:val="clear" w:color="auto" w:fill="auto"/>
            <w:hideMark/>
          </w:tcPr>
          <w:p w14:paraId="2352EF88"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IgM</w:t>
            </w:r>
          </w:p>
        </w:tc>
        <w:tc>
          <w:tcPr>
            <w:tcW w:w="1410" w:type="pct"/>
            <w:gridSpan w:val="2"/>
            <w:tcBorders>
              <w:top w:val="single" w:sz="4" w:space="0" w:color="auto"/>
              <w:left w:val="nil"/>
              <w:bottom w:val="single" w:sz="4" w:space="0" w:color="auto"/>
              <w:right w:val="nil"/>
            </w:tcBorders>
            <w:shd w:val="clear" w:color="auto" w:fill="auto"/>
            <w:hideMark/>
          </w:tcPr>
          <w:p w14:paraId="3FBC0122"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IgA</w:t>
            </w:r>
          </w:p>
        </w:tc>
      </w:tr>
      <w:tr w:rsidR="00731688" w:rsidRPr="002974BE" w14:paraId="284F415F" w14:textId="77777777" w:rsidTr="005F269C">
        <w:trPr>
          <w:trHeight w:val="254"/>
        </w:trPr>
        <w:tc>
          <w:tcPr>
            <w:tcW w:w="729" w:type="pct"/>
            <w:vMerge/>
            <w:tcBorders>
              <w:top w:val="single" w:sz="4" w:space="0" w:color="auto"/>
              <w:left w:val="nil"/>
              <w:bottom w:val="single" w:sz="4" w:space="0" w:color="000000"/>
              <w:right w:val="nil"/>
            </w:tcBorders>
            <w:vAlign w:val="center"/>
          </w:tcPr>
          <w:p w14:paraId="30DEDC79"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p>
        </w:tc>
        <w:tc>
          <w:tcPr>
            <w:tcW w:w="1449" w:type="pct"/>
            <w:gridSpan w:val="2"/>
            <w:tcBorders>
              <w:top w:val="single" w:sz="4" w:space="0" w:color="auto"/>
              <w:left w:val="nil"/>
              <w:bottom w:val="single" w:sz="4" w:space="0" w:color="auto"/>
              <w:right w:val="nil"/>
            </w:tcBorders>
            <w:shd w:val="clear" w:color="auto" w:fill="auto"/>
          </w:tcPr>
          <w:p w14:paraId="70BCE758"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p>
        </w:tc>
        <w:tc>
          <w:tcPr>
            <w:tcW w:w="1412" w:type="pct"/>
            <w:gridSpan w:val="2"/>
            <w:tcBorders>
              <w:top w:val="single" w:sz="4" w:space="0" w:color="auto"/>
              <w:left w:val="nil"/>
              <w:bottom w:val="single" w:sz="4" w:space="0" w:color="auto"/>
              <w:right w:val="nil"/>
            </w:tcBorders>
            <w:shd w:val="clear" w:color="auto" w:fill="auto"/>
          </w:tcPr>
          <w:p w14:paraId="1A040F8F"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Infección por COVID-19</w:t>
            </w:r>
          </w:p>
        </w:tc>
        <w:tc>
          <w:tcPr>
            <w:tcW w:w="1410" w:type="pct"/>
            <w:gridSpan w:val="2"/>
            <w:tcBorders>
              <w:top w:val="single" w:sz="4" w:space="0" w:color="auto"/>
              <w:left w:val="nil"/>
              <w:bottom w:val="single" w:sz="4" w:space="0" w:color="auto"/>
              <w:right w:val="nil"/>
            </w:tcBorders>
            <w:shd w:val="clear" w:color="auto" w:fill="auto"/>
          </w:tcPr>
          <w:p w14:paraId="28D5ACB4"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p>
        </w:tc>
      </w:tr>
      <w:tr w:rsidR="00731688" w:rsidRPr="002974BE" w14:paraId="48264FEE" w14:textId="77777777" w:rsidTr="005F269C">
        <w:trPr>
          <w:trHeight w:val="254"/>
        </w:trPr>
        <w:tc>
          <w:tcPr>
            <w:tcW w:w="729" w:type="pct"/>
            <w:vMerge/>
            <w:tcBorders>
              <w:top w:val="single" w:sz="4" w:space="0" w:color="auto"/>
              <w:left w:val="nil"/>
              <w:bottom w:val="single" w:sz="4" w:space="0" w:color="000000"/>
              <w:right w:val="nil"/>
            </w:tcBorders>
            <w:vAlign w:val="center"/>
            <w:hideMark/>
          </w:tcPr>
          <w:p w14:paraId="038B9409"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p>
        </w:tc>
        <w:tc>
          <w:tcPr>
            <w:tcW w:w="706" w:type="pct"/>
            <w:tcBorders>
              <w:top w:val="nil"/>
              <w:left w:val="nil"/>
              <w:bottom w:val="single" w:sz="4" w:space="0" w:color="auto"/>
              <w:right w:val="nil"/>
            </w:tcBorders>
            <w:shd w:val="clear" w:color="auto" w:fill="auto"/>
            <w:vAlign w:val="center"/>
            <w:hideMark/>
          </w:tcPr>
          <w:p w14:paraId="1CBACB6E"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No = 43</w:t>
            </w:r>
          </w:p>
        </w:tc>
        <w:tc>
          <w:tcPr>
            <w:tcW w:w="743" w:type="pct"/>
            <w:tcBorders>
              <w:top w:val="nil"/>
              <w:left w:val="nil"/>
              <w:bottom w:val="single" w:sz="4" w:space="0" w:color="auto"/>
              <w:right w:val="nil"/>
            </w:tcBorders>
            <w:shd w:val="clear" w:color="auto" w:fill="auto"/>
            <w:vAlign w:val="center"/>
            <w:hideMark/>
          </w:tcPr>
          <w:p w14:paraId="451AEA3E"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Si = 120</w:t>
            </w:r>
          </w:p>
        </w:tc>
        <w:tc>
          <w:tcPr>
            <w:tcW w:w="706" w:type="pct"/>
            <w:tcBorders>
              <w:top w:val="nil"/>
              <w:left w:val="nil"/>
              <w:bottom w:val="single" w:sz="4" w:space="0" w:color="auto"/>
              <w:right w:val="nil"/>
            </w:tcBorders>
            <w:shd w:val="clear" w:color="auto" w:fill="auto"/>
            <w:vAlign w:val="center"/>
            <w:hideMark/>
          </w:tcPr>
          <w:p w14:paraId="3499179A"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No = 43</w:t>
            </w:r>
          </w:p>
        </w:tc>
        <w:tc>
          <w:tcPr>
            <w:tcW w:w="706" w:type="pct"/>
            <w:tcBorders>
              <w:top w:val="nil"/>
              <w:left w:val="nil"/>
              <w:bottom w:val="single" w:sz="4" w:space="0" w:color="auto"/>
              <w:right w:val="nil"/>
            </w:tcBorders>
            <w:shd w:val="clear" w:color="auto" w:fill="auto"/>
            <w:vAlign w:val="center"/>
            <w:hideMark/>
          </w:tcPr>
          <w:p w14:paraId="702B48EE"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Si = 120</w:t>
            </w:r>
          </w:p>
        </w:tc>
        <w:tc>
          <w:tcPr>
            <w:tcW w:w="706" w:type="pct"/>
            <w:tcBorders>
              <w:top w:val="nil"/>
              <w:left w:val="nil"/>
              <w:bottom w:val="single" w:sz="4" w:space="0" w:color="auto"/>
              <w:right w:val="nil"/>
            </w:tcBorders>
            <w:shd w:val="clear" w:color="auto" w:fill="auto"/>
            <w:vAlign w:val="center"/>
            <w:hideMark/>
          </w:tcPr>
          <w:p w14:paraId="4799D86F"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No = 43</w:t>
            </w:r>
          </w:p>
        </w:tc>
        <w:tc>
          <w:tcPr>
            <w:tcW w:w="704" w:type="pct"/>
            <w:tcBorders>
              <w:top w:val="nil"/>
              <w:left w:val="nil"/>
              <w:bottom w:val="single" w:sz="4" w:space="0" w:color="auto"/>
              <w:right w:val="nil"/>
            </w:tcBorders>
            <w:shd w:val="clear" w:color="auto" w:fill="auto"/>
            <w:vAlign w:val="center"/>
            <w:hideMark/>
          </w:tcPr>
          <w:p w14:paraId="7410EB78"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Si = 120</w:t>
            </w:r>
          </w:p>
        </w:tc>
      </w:tr>
      <w:tr w:rsidR="00731688" w:rsidRPr="002974BE" w14:paraId="32A2E317" w14:textId="77777777" w:rsidTr="005F269C">
        <w:trPr>
          <w:trHeight w:val="254"/>
        </w:trPr>
        <w:tc>
          <w:tcPr>
            <w:tcW w:w="729" w:type="pct"/>
            <w:tcBorders>
              <w:top w:val="nil"/>
              <w:left w:val="nil"/>
              <w:bottom w:val="nil"/>
              <w:right w:val="nil"/>
            </w:tcBorders>
            <w:shd w:val="clear" w:color="auto" w:fill="auto"/>
            <w:noWrap/>
            <w:hideMark/>
          </w:tcPr>
          <w:p w14:paraId="00D548B0"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RBD</w:t>
            </w:r>
          </w:p>
        </w:tc>
        <w:tc>
          <w:tcPr>
            <w:tcW w:w="706" w:type="pct"/>
            <w:tcBorders>
              <w:top w:val="nil"/>
              <w:left w:val="nil"/>
              <w:bottom w:val="nil"/>
              <w:right w:val="nil"/>
            </w:tcBorders>
            <w:shd w:val="clear" w:color="auto" w:fill="auto"/>
            <w:noWrap/>
            <w:hideMark/>
          </w:tcPr>
          <w:p w14:paraId="115238A5"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p>
        </w:tc>
        <w:tc>
          <w:tcPr>
            <w:tcW w:w="743" w:type="pct"/>
            <w:tcBorders>
              <w:top w:val="nil"/>
              <w:left w:val="nil"/>
              <w:bottom w:val="nil"/>
              <w:right w:val="nil"/>
            </w:tcBorders>
            <w:shd w:val="clear" w:color="auto" w:fill="auto"/>
            <w:noWrap/>
            <w:hideMark/>
          </w:tcPr>
          <w:p w14:paraId="1A53C7F8"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6" w:type="pct"/>
            <w:tcBorders>
              <w:top w:val="nil"/>
              <w:left w:val="nil"/>
              <w:bottom w:val="nil"/>
              <w:right w:val="nil"/>
            </w:tcBorders>
            <w:shd w:val="clear" w:color="auto" w:fill="auto"/>
            <w:hideMark/>
          </w:tcPr>
          <w:p w14:paraId="1B2B32A6"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6" w:type="pct"/>
            <w:tcBorders>
              <w:top w:val="nil"/>
              <w:left w:val="nil"/>
              <w:bottom w:val="nil"/>
              <w:right w:val="nil"/>
            </w:tcBorders>
            <w:shd w:val="clear" w:color="auto" w:fill="auto"/>
            <w:hideMark/>
          </w:tcPr>
          <w:p w14:paraId="6342D951"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6" w:type="pct"/>
            <w:tcBorders>
              <w:top w:val="nil"/>
              <w:left w:val="nil"/>
              <w:bottom w:val="nil"/>
              <w:right w:val="nil"/>
            </w:tcBorders>
            <w:shd w:val="clear" w:color="auto" w:fill="auto"/>
            <w:hideMark/>
          </w:tcPr>
          <w:p w14:paraId="1697D3CE"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4" w:type="pct"/>
            <w:tcBorders>
              <w:top w:val="nil"/>
              <w:left w:val="nil"/>
              <w:bottom w:val="nil"/>
              <w:right w:val="nil"/>
            </w:tcBorders>
            <w:shd w:val="clear" w:color="auto" w:fill="auto"/>
            <w:hideMark/>
          </w:tcPr>
          <w:p w14:paraId="59A539AF" w14:textId="77777777" w:rsidR="00731688" w:rsidRPr="002974BE" w:rsidRDefault="00731688" w:rsidP="001D7F2E">
            <w:pPr>
              <w:spacing w:after="0" w:line="240" w:lineRule="auto"/>
              <w:jc w:val="both"/>
              <w:rPr>
                <w:rFonts w:eastAsia="Times New Roman" w:cstheme="minorHAnsi"/>
                <w:sz w:val="18"/>
                <w:szCs w:val="18"/>
                <w:lang w:eastAsia="es-PE"/>
              </w:rPr>
            </w:pPr>
          </w:p>
        </w:tc>
      </w:tr>
      <w:tr w:rsidR="00731688" w:rsidRPr="002974BE" w14:paraId="038DCF1F" w14:textId="77777777" w:rsidTr="005F269C">
        <w:trPr>
          <w:trHeight w:val="254"/>
        </w:trPr>
        <w:tc>
          <w:tcPr>
            <w:tcW w:w="729" w:type="pct"/>
            <w:tcBorders>
              <w:top w:val="nil"/>
              <w:left w:val="nil"/>
              <w:bottom w:val="nil"/>
              <w:right w:val="nil"/>
            </w:tcBorders>
            <w:shd w:val="clear" w:color="auto" w:fill="auto"/>
            <w:noWrap/>
            <w:hideMark/>
          </w:tcPr>
          <w:p w14:paraId="2DEEAE24" w14:textId="77777777" w:rsidR="00731688" w:rsidRPr="002974BE" w:rsidRDefault="00731688" w:rsidP="001D7F2E">
            <w:pPr>
              <w:spacing w:after="0" w:line="240" w:lineRule="auto"/>
              <w:jc w:val="both"/>
              <w:rPr>
                <w:rFonts w:eastAsia="Times New Roman" w:cstheme="minorHAnsi"/>
                <w:i/>
                <w:iCs/>
                <w:color w:val="000000"/>
                <w:sz w:val="18"/>
                <w:szCs w:val="18"/>
                <w:lang w:eastAsia="es-PE"/>
              </w:rPr>
            </w:pPr>
            <w:r w:rsidRPr="002974BE">
              <w:rPr>
                <w:rFonts w:eastAsia="Times New Roman" w:cstheme="minorHAnsi"/>
                <w:i/>
                <w:iCs/>
                <w:color w:val="000000"/>
                <w:sz w:val="18"/>
                <w:szCs w:val="18"/>
                <w:lang w:eastAsia="es-PE"/>
              </w:rPr>
              <w:t xml:space="preserve">     Limítrofe</w:t>
            </w:r>
          </w:p>
        </w:tc>
        <w:tc>
          <w:tcPr>
            <w:tcW w:w="706" w:type="pct"/>
            <w:tcBorders>
              <w:top w:val="nil"/>
              <w:left w:val="nil"/>
              <w:bottom w:val="nil"/>
              <w:right w:val="nil"/>
            </w:tcBorders>
            <w:shd w:val="clear" w:color="auto" w:fill="auto"/>
            <w:noWrap/>
            <w:hideMark/>
          </w:tcPr>
          <w:p w14:paraId="389B6B2D"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w:t>
            </w:r>
          </w:p>
        </w:tc>
        <w:tc>
          <w:tcPr>
            <w:tcW w:w="743" w:type="pct"/>
            <w:tcBorders>
              <w:top w:val="nil"/>
              <w:left w:val="nil"/>
              <w:bottom w:val="nil"/>
              <w:right w:val="nil"/>
            </w:tcBorders>
            <w:shd w:val="clear" w:color="auto" w:fill="auto"/>
            <w:noWrap/>
            <w:hideMark/>
          </w:tcPr>
          <w:p w14:paraId="3D6B7DDB"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w:t>
            </w:r>
          </w:p>
        </w:tc>
        <w:tc>
          <w:tcPr>
            <w:tcW w:w="706" w:type="pct"/>
            <w:tcBorders>
              <w:top w:val="nil"/>
              <w:left w:val="nil"/>
              <w:bottom w:val="nil"/>
              <w:right w:val="nil"/>
            </w:tcBorders>
            <w:shd w:val="clear" w:color="auto" w:fill="auto"/>
            <w:hideMark/>
          </w:tcPr>
          <w:p w14:paraId="5FC81299"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2.0 (4.7%)</w:t>
            </w:r>
          </w:p>
        </w:tc>
        <w:tc>
          <w:tcPr>
            <w:tcW w:w="706" w:type="pct"/>
            <w:tcBorders>
              <w:top w:val="nil"/>
              <w:left w:val="nil"/>
              <w:bottom w:val="nil"/>
              <w:right w:val="nil"/>
            </w:tcBorders>
            <w:shd w:val="clear" w:color="auto" w:fill="auto"/>
            <w:hideMark/>
          </w:tcPr>
          <w:p w14:paraId="197E61D5"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9.0 (7.5%)</w:t>
            </w:r>
          </w:p>
        </w:tc>
        <w:tc>
          <w:tcPr>
            <w:tcW w:w="706" w:type="pct"/>
            <w:tcBorders>
              <w:top w:val="nil"/>
              <w:left w:val="nil"/>
              <w:bottom w:val="nil"/>
              <w:right w:val="nil"/>
            </w:tcBorders>
            <w:shd w:val="clear" w:color="auto" w:fill="auto"/>
            <w:hideMark/>
          </w:tcPr>
          <w:p w14:paraId="207BF196"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1.0 (2.3%)</w:t>
            </w:r>
          </w:p>
        </w:tc>
        <w:tc>
          <w:tcPr>
            <w:tcW w:w="704" w:type="pct"/>
            <w:tcBorders>
              <w:top w:val="nil"/>
              <w:left w:val="nil"/>
              <w:bottom w:val="nil"/>
              <w:right w:val="nil"/>
            </w:tcBorders>
            <w:shd w:val="clear" w:color="auto" w:fill="auto"/>
            <w:hideMark/>
          </w:tcPr>
          <w:p w14:paraId="4DEFCCBA"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4.0 (3.3%)</w:t>
            </w:r>
          </w:p>
        </w:tc>
      </w:tr>
      <w:tr w:rsidR="00731688" w:rsidRPr="002974BE" w14:paraId="12A796EC" w14:textId="77777777" w:rsidTr="005F269C">
        <w:trPr>
          <w:trHeight w:val="254"/>
        </w:trPr>
        <w:tc>
          <w:tcPr>
            <w:tcW w:w="729" w:type="pct"/>
            <w:tcBorders>
              <w:top w:val="nil"/>
              <w:left w:val="nil"/>
              <w:bottom w:val="nil"/>
              <w:right w:val="nil"/>
            </w:tcBorders>
            <w:shd w:val="clear" w:color="auto" w:fill="auto"/>
            <w:noWrap/>
            <w:hideMark/>
          </w:tcPr>
          <w:p w14:paraId="724F79AD" w14:textId="77777777" w:rsidR="00731688" w:rsidRPr="002974BE" w:rsidRDefault="00731688" w:rsidP="001D7F2E">
            <w:pPr>
              <w:spacing w:after="0" w:line="240" w:lineRule="auto"/>
              <w:jc w:val="both"/>
              <w:rPr>
                <w:rFonts w:eastAsia="Times New Roman" w:cstheme="minorHAnsi"/>
                <w:i/>
                <w:iCs/>
                <w:color w:val="000000"/>
                <w:sz w:val="18"/>
                <w:szCs w:val="18"/>
                <w:lang w:eastAsia="es-PE"/>
              </w:rPr>
            </w:pPr>
            <w:r w:rsidRPr="002974BE">
              <w:rPr>
                <w:rFonts w:eastAsia="Times New Roman" w:cstheme="minorHAnsi"/>
                <w:i/>
                <w:iCs/>
                <w:color w:val="000000"/>
                <w:sz w:val="18"/>
                <w:szCs w:val="18"/>
                <w:lang w:eastAsia="es-PE"/>
              </w:rPr>
              <w:t xml:space="preserve">     Negativo</w:t>
            </w:r>
          </w:p>
        </w:tc>
        <w:tc>
          <w:tcPr>
            <w:tcW w:w="706" w:type="pct"/>
            <w:tcBorders>
              <w:top w:val="nil"/>
              <w:left w:val="nil"/>
              <w:bottom w:val="nil"/>
              <w:right w:val="nil"/>
            </w:tcBorders>
            <w:shd w:val="clear" w:color="auto" w:fill="auto"/>
            <w:noWrap/>
            <w:hideMark/>
          </w:tcPr>
          <w:p w14:paraId="6DFBE27F"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1.0 (2.3%)</w:t>
            </w:r>
          </w:p>
        </w:tc>
        <w:tc>
          <w:tcPr>
            <w:tcW w:w="743" w:type="pct"/>
            <w:tcBorders>
              <w:top w:val="nil"/>
              <w:left w:val="nil"/>
              <w:bottom w:val="nil"/>
              <w:right w:val="nil"/>
            </w:tcBorders>
            <w:shd w:val="clear" w:color="auto" w:fill="auto"/>
            <w:noWrap/>
            <w:hideMark/>
          </w:tcPr>
          <w:p w14:paraId="732D1DB1"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0.0 (0.0%)</w:t>
            </w:r>
          </w:p>
        </w:tc>
        <w:tc>
          <w:tcPr>
            <w:tcW w:w="706" w:type="pct"/>
            <w:tcBorders>
              <w:top w:val="nil"/>
              <w:left w:val="nil"/>
              <w:bottom w:val="nil"/>
              <w:right w:val="nil"/>
            </w:tcBorders>
            <w:shd w:val="clear" w:color="auto" w:fill="auto"/>
            <w:hideMark/>
          </w:tcPr>
          <w:p w14:paraId="24D8FD5F"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8.0 (18.6%)</w:t>
            </w:r>
          </w:p>
        </w:tc>
        <w:tc>
          <w:tcPr>
            <w:tcW w:w="706" w:type="pct"/>
            <w:tcBorders>
              <w:top w:val="nil"/>
              <w:left w:val="nil"/>
              <w:bottom w:val="nil"/>
              <w:right w:val="nil"/>
            </w:tcBorders>
            <w:shd w:val="clear" w:color="auto" w:fill="auto"/>
            <w:hideMark/>
          </w:tcPr>
          <w:p w14:paraId="337CF8E8"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26.0 (21.7%)</w:t>
            </w:r>
          </w:p>
        </w:tc>
        <w:tc>
          <w:tcPr>
            <w:tcW w:w="706" w:type="pct"/>
            <w:tcBorders>
              <w:top w:val="nil"/>
              <w:left w:val="nil"/>
              <w:bottom w:val="nil"/>
              <w:right w:val="nil"/>
            </w:tcBorders>
            <w:shd w:val="clear" w:color="auto" w:fill="auto"/>
            <w:hideMark/>
          </w:tcPr>
          <w:p w14:paraId="5C65BC7D"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4.0 (9.3%)</w:t>
            </w:r>
          </w:p>
        </w:tc>
        <w:tc>
          <w:tcPr>
            <w:tcW w:w="704" w:type="pct"/>
            <w:tcBorders>
              <w:top w:val="nil"/>
              <w:left w:val="nil"/>
              <w:bottom w:val="nil"/>
              <w:right w:val="nil"/>
            </w:tcBorders>
            <w:shd w:val="clear" w:color="auto" w:fill="auto"/>
            <w:hideMark/>
          </w:tcPr>
          <w:p w14:paraId="45FCE9F1"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8.0 (6.7%)</w:t>
            </w:r>
          </w:p>
        </w:tc>
      </w:tr>
      <w:tr w:rsidR="00731688" w:rsidRPr="002974BE" w14:paraId="1DAEF813" w14:textId="77777777" w:rsidTr="005F269C">
        <w:trPr>
          <w:trHeight w:val="254"/>
        </w:trPr>
        <w:tc>
          <w:tcPr>
            <w:tcW w:w="729" w:type="pct"/>
            <w:tcBorders>
              <w:top w:val="nil"/>
              <w:left w:val="nil"/>
              <w:bottom w:val="nil"/>
              <w:right w:val="nil"/>
            </w:tcBorders>
            <w:shd w:val="clear" w:color="auto" w:fill="auto"/>
            <w:noWrap/>
            <w:hideMark/>
          </w:tcPr>
          <w:p w14:paraId="4255A371" w14:textId="77777777" w:rsidR="00731688" w:rsidRPr="002974BE" w:rsidRDefault="00731688" w:rsidP="001D7F2E">
            <w:pPr>
              <w:spacing w:after="0" w:line="240" w:lineRule="auto"/>
              <w:jc w:val="both"/>
              <w:rPr>
                <w:rFonts w:eastAsia="Times New Roman" w:cstheme="minorHAnsi"/>
                <w:i/>
                <w:iCs/>
                <w:color w:val="000000"/>
                <w:sz w:val="18"/>
                <w:szCs w:val="18"/>
                <w:lang w:eastAsia="es-PE"/>
              </w:rPr>
            </w:pPr>
            <w:r w:rsidRPr="002974BE">
              <w:rPr>
                <w:rFonts w:eastAsia="Times New Roman" w:cstheme="minorHAnsi"/>
                <w:i/>
                <w:iCs/>
                <w:color w:val="000000"/>
                <w:sz w:val="18"/>
                <w:szCs w:val="18"/>
                <w:lang w:eastAsia="es-PE"/>
              </w:rPr>
              <w:t xml:space="preserve">     Positivo</w:t>
            </w:r>
          </w:p>
        </w:tc>
        <w:tc>
          <w:tcPr>
            <w:tcW w:w="706" w:type="pct"/>
            <w:tcBorders>
              <w:top w:val="nil"/>
              <w:left w:val="nil"/>
              <w:bottom w:val="nil"/>
              <w:right w:val="nil"/>
            </w:tcBorders>
            <w:shd w:val="clear" w:color="auto" w:fill="auto"/>
            <w:noWrap/>
            <w:hideMark/>
          </w:tcPr>
          <w:p w14:paraId="6A6BF95E"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42.0 (97.7%)</w:t>
            </w:r>
          </w:p>
        </w:tc>
        <w:tc>
          <w:tcPr>
            <w:tcW w:w="743" w:type="pct"/>
            <w:tcBorders>
              <w:top w:val="nil"/>
              <w:left w:val="nil"/>
              <w:bottom w:val="nil"/>
              <w:right w:val="nil"/>
            </w:tcBorders>
            <w:shd w:val="clear" w:color="auto" w:fill="auto"/>
            <w:noWrap/>
            <w:hideMark/>
          </w:tcPr>
          <w:p w14:paraId="4B4A8AC0"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120.0 (100.0%)</w:t>
            </w:r>
          </w:p>
        </w:tc>
        <w:tc>
          <w:tcPr>
            <w:tcW w:w="706" w:type="pct"/>
            <w:tcBorders>
              <w:top w:val="nil"/>
              <w:left w:val="nil"/>
              <w:bottom w:val="nil"/>
              <w:right w:val="nil"/>
            </w:tcBorders>
            <w:shd w:val="clear" w:color="auto" w:fill="auto"/>
            <w:hideMark/>
          </w:tcPr>
          <w:p w14:paraId="05B9CE68"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33.0 (76.7%)</w:t>
            </w:r>
          </w:p>
        </w:tc>
        <w:tc>
          <w:tcPr>
            <w:tcW w:w="706" w:type="pct"/>
            <w:tcBorders>
              <w:top w:val="nil"/>
              <w:left w:val="nil"/>
              <w:bottom w:val="nil"/>
              <w:right w:val="nil"/>
            </w:tcBorders>
            <w:shd w:val="clear" w:color="auto" w:fill="auto"/>
            <w:hideMark/>
          </w:tcPr>
          <w:p w14:paraId="4430196A"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85.0 (70.8%)</w:t>
            </w:r>
          </w:p>
        </w:tc>
        <w:tc>
          <w:tcPr>
            <w:tcW w:w="706" w:type="pct"/>
            <w:tcBorders>
              <w:top w:val="nil"/>
              <w:left w:val="nil"/>
              <w:bottom w:val="nil"/>
              <w:right w:val="nil"/>
            </w:tcBorders>
            <w:shd w:val="clear" w:color="auto" w:fill="auto"/>
            <w:hideMark/>
          </w:tcPr>
          <w:p w14:paraId="044BC2BD"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38.0 (88.4%)</w:t>
            </w:r>
          </w:p>
        </w:tc>
        <w:tc>
          <w:tcPr>
            <w:tcW w:w="704" w:type="pct"/>
            <w:tcBorders>
              <w:top w:val="nil"/>
              <w:left w:val="nil"/>
              <w:bottom w:val="nil"/>
              <w:right w:val="nil"/>
            </w:tcBorders>
            <w:shd w:val="clear" w:color="auto" w:fill="auto"/>
            <w:hideMark/>
          </w:tcPr>
          <w:p w14:paraId="697A8E38"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108.0 (90.0%)</w:t>
            </w:r>
          </w:p>
        </w:tc>
      </w:tr>
      <w:tr w:rsidR="00731688" w:rsidRPr="002974BE" w14:paraId="272ED725" w14:textId="77777777" w:rsidTr="005F269C">
        <w:trPr>
          <w:trHeight w:val="254"/>
        </w:trPr>
        <w:tc>
          <w:tcPr>
            <w:tcW w:w="729" w:type="pct"/>
            <w:tcBorders>
              <w:top w:val="nil"/>
              <w:left w:val="nil"/>
              <w:bottom w:val="nil"/>
              <w:right w:val="nil"/>
            </w:tcBorders>
            <w:shd w:val="clear" w:color="auto" w:fill="auto"/>
            <w:noWrap/>
            <w:hideMark/>
          </w:tcPr>
          <w:p w14:paraId="5C6FC2CC"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Espiga</w:t>
            </w:r>
          </w:p>
        </w:tc>
        <w:tc>
          <w:tcPr>
            <w:tcW w:w="706" w:type="pct"/>
            <w:tcBorders>
              <w:top w:val="nil"/>
              <w:left w:val="nil"/>
              <w:bottom w:val="nil"/>
              <w:right w:val="nil"/>
            </w:tcBorders>
            <w:shd w:val="clear" w:color="auto" w:fill="auto"/>
            <w:noWrap/>
            <w:hideMark/>
          </w:tcPr>
          <w:p w14:paraId="4690FA67"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p>
        </w:tc>
        <w:tc>
          <w:tcPr>
            <w:tcW w:w="743" w:type="pct"/>
            <w:tcBorders>
              <w:top w:val="nil"/>
              <w:left w:val="nil"/>
              <w:bottom w:val="nil"/>
              <w:right w:val="nil"/>
            </w:tcBorders>
            <w:shd w:val="clear" w:color="auto" w:fill="auto"/>
            <w:noWrap/>
            <w:hideMark/>
          </w:tcPr>
          <w:p w14:paraId="42E329A5"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6" w:type="pct"/>
            <w:tcBorders>
              <w:top w:val="nil"/>
              <w:left w:val="nil"/>
              <w:bottom w:val="nil"/>
              <w:right w:val="nil"/>
            </w:tcBorders>
            <w:shd w:val="clear" w:color="auto" w:fill="auto"/>
            <w:hideMark/>
          </w:tcPr>
          <w:p w14:paraId="1FC16BD2"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6" w:type="pct"/>
            <w:tcBorders>
              <w:top w:val="nil"/>
              <w:left w:val="nil"/>
              <w:bottom w:val="nil"/>
              <w:right w:val="nil"/>
            </w:tcBorders>
            <w:shd w:val="clear" w:color="auto" w:fill="auto"/>
            <w:hideMark/>
          </w:tcPr>
          <w:p w14:paraId="5A5218B3"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6" w:type="pct"/>
            <w:tcBorders>
              <w:top w:val="nil"/>
              <w:left w:val="nil"/>
              <w:bottom w:val="nil"/>
              <w:right w:val="nil"/>
            </w:tcBorders>
            <w:shd w:val="clear" w:color="auto" w:fill="auto"/>
            <w:hideMark/>
          </w:tcPr>
          <w:p w14:paraId="1A8A7AD3"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4" w:type="pct"/>
            <w:tcBorders>
              <w:top w:val="nil"/>
              <w:left w:val="nil"/>
              <w:bottom w:val="nil"/>
              <w:right w:val="nil"/>
            </w:tcBorders>
            <w:shd w:val="clear" w:color="auto" w:fill="auto"/>
            <w:hideMark/>
          </w:tcPr>
          <w:p w14:paraId="4D96A46D" w14:textId="77777777" w:rsidR="00731688" w:rsidRPr="002974BE" w:rsidRDefault="00731688" w:rsidP="001D7F2E">
            <w:pPr>
              <w:spacing w:after="0" w:line="240" w:lineRule="auto"/>
              <w:jc w:val="both"/>
              <w:rPr>
                <w:rFonts w:eastAsia="Times New Roman" w:cstheme="minorHAnsi"/>
                <w:sz w:val="18"/>
                <w:szCs w:val="18"/>
                <w:lang w:eastAsia="es-PE"/>
              </w:rPr>
            </w:pPr>
          </w:p>
        </w:tc>
      </w:tr>
      <w:tr w:rsidR="00731688" w:rsidRPr="002974BE" w14:paraId="10BA42B2" w14:textId="77777777" w:rsidTr="005F269C">
        <w:trPr>
          <w:trHeight w:val="254"/>
        </w:trPr>
        <w:tc>
          <w:tcPr>
            <w:tcW w:w="729" w:type="pct"/>
            <w:tcBorders>
              <w:top w:val="nil"/>
              <w:left w:val="nil"/>
              <w:bottom w:val="nil"/>
              <w:right w:val="nil"/>
            </w:tcBorders>
            <w:shd w:val="clear" w:color="auto" w:fill="auto"/>
            <w:noWrap/>
            <w:hideMark/>
          </w:tcPr>
          <w:p w14:paraId="4B006F59" w14:textId="77777777" w:rsidR="00731688" w:rsidRPr="002974BE" w:rsidRDefault="00731688" w:rsidP="001D7F2E">
            <w:pPr>
              <w:spacing w:after="0" w:line="240" w:lineRule="auto"/>
              <w:jc w:val="both"/>
              <w:rPr>
                <w:rFonts w:eastAsia="Times New Roman" w:cstheme="minorHAnsi"/>
                <w:i/>
                <w:iCs/>
                <w:color w:val="000000"/>
                <w:sz w:val="18"/>
                <w:szCs w:val="18"/>
                <w:lang w:eastAsia="es-PE"/>
              </w:rPr>
            </w:pPr>
            <w:r w:rsidRPr="002974BE">
              <w:rPr>
                <w:rFonts w:eastAsia="Times New Roman" w:cstheme="minorHAnsi"/>
                <w:i/>
                <w:iCs/>
                <w:color w:val="000000"/>
                <w:sz w:val="18"/>
                <w:szCs w:val="18"/>
                <w:lang w:eastAsia="es-PE"/>
              </w:rPr>
              <w:t xml:space="preserve">     Limítrofe</w:t>
            </w:r>
          </w:p>
        </w:tc>
        <w:tc>
          <w:tcPr>
            <w:tcW w:w="706" w:type="pct"/>
            <w:tcBorders>
              <w:top w:val="nil"/>
              <w:left w:val="nil"/>
              <w:bottom w:val="nil"/>
              <w:right w:val="nil"/>
            </w:tcBorders>
            <w:shd w:val="clear" w:color="auto" w:fill="auto"/>
            <w:noWrap/>
            <w:hideMark/>
          </w:tcPr>
          <w:p w14:paraId="6ABC790E"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1.0 (2.3%)</w:t>
            </w:r>
          </w:p>
        </w:tc>
        <w:tc>
          <w:tcPr>
            <w:tcW w:w="743" w:type="pct"/>
            <w:tcBorders>
              <w:top w:val="nil"/>
              <w:left w:val="nil"/>
              <w:bottom w:val="nil"/>
              <w:right w:val="nil"/>
            </w:tcBorders>
            <w:shd w:val="clear" w:color="auto" w:fill="auto"/>
            <w:noWrap/>
            <w:hideMark/>
          </w:tcPr>
          <w:p w14:paraId="5B7CF21D"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0.0 (0.0%)</w:t>
            </w:r>
          </w:p>
        </w:tc>
        <w:tc>
          <w:tcPr>
            <w:tcW w:w="706" w:type="pct"/>
            <w:tcBorders>
              <w:top w:val="nil"/>
              <w:left w:val="nil"/>
              <w:bottom w:val="nil"/>
              <w:right w:val="nil"/>
            </w:tcBorders>
            <w:shd w:val="clear" w:color="auto" w:fill="auto"/>
            <w:hideMark/>
          </w:tcPr>
          <w:p w14:paraId="63612F2E"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3.0 (7.0%)</w:t>
            </w:r>
          </w:p>
        </w:tc>
        <w:tc>
          <w:tcPr>
            <w:tcW w:w="706" w:type="pct"/>
            <w:tcBorders>
              <w:top w:val="nil"/>
              <w:left w:val="nil"/>
              <w:bottom w:val="nil"/>
              <w:right w:val="nil"/>
            </w:tcBorders>
            <w:shd w:val="clear" w:color="auto" w:fill="auto"/>
            <w:hideMark/>
          </w:tcPr>
          <w:p w14:paraId="225BE017"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5.0 (4.2%)</w:t>
            </w:r>
          </w:p>
        </w:tc>
        <w:tc>
          <w:tcPr>
            <w:tcW w:w="706" w:type="pct"/>
            <w:tcBorders>
              <w:top w:val="nil"/>
              <w:left w:val="nil"/>
              <w:bottom w:val="nil"/>
              <w:right w:val="nil"/>
            </w:tcBorders>
            <w:shd w:val="clear" w:color="auto" w:fill="auto"/>
            <w:hideMark/>
          </w:tcPr>
          <w:p w14:paraId="39B086CE"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1.0 (2.3%)</w:t>
            </w:r>
          </w:p>
        </w:tc>
        <w:tc>
          <w:tcPr>
            <w:tcW w:w="704" w:type="pct"/>
            <w:tcBorders>
              <w:top w:val="nil"/>
              <w:left w:val="nil"/>
              <w:bottom w:val="nil"/>
              <w:right w:val="nil"/>
            </w:tcBorders>
            <w:shd w:val="clear" w:color="auto" w:fill="auto"/>
            <w:hideMark/>
          </w:tcPr>
          <w:p w14:paraId="44306C5F"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0.0 (0.0%)</w:t>
            </w:r>
          </w:p>
        </w:tc>
      </w:tr>
      <w:tr w:rsidR="00731688" w:rsidRPr="002974BE" w14:paraId="4C26E347" w14:textId="77777777" w:rsidTr="005F269C">
        <w:trPr>
          <w:trHeight w:val="254"/>
        </w:trPr>
        <w:tc>
          <w:tcPr>
            <w:tcW w:w="729" w:type="pct"/>
            <w:tcBorders>
              <w:top w:val="nil"/>
              <w:left w:val="nil"/>
              <w:bottom w:val="nil"/>
              <w:right w:val="nil"/>
            </w:tcBorders>
            <w:shd w:val="clear" w:color="auto" w:fill="auto"/>
            <w:noWrap/>
            <w:hideMark/>
          </w:tcPr>
          <w:p w14:paraId="549D5365" w14:textId="77777777" w:rsidR="00731688" w:rsidRPr="002974BE" w:rsidRDefault="00731688" w:rsidP="001D7F2E">
            <w:pPr>
              <w:spacing w:after="0" w:line="240" w:lineRule="auto"/>
              <w:jc w:val="both"/>
              <w:rPr>
                <w:rFonts w:eastAsia="Times New Roman" w:cstheme="minorHAnsi"/>
                <w:i/>
                <w:iCs/>
                <w:color w:val="000000"/>
                <w:sz w:val="18"/>
                <w:szCs w:val="18"/>
                <w:lang w:eastAsia="es-PE"/>
              </w:rPr>
            </w:pPr>
            <w:r w:rsidRPr="002974BE">
              <w:rPr>
                <w:rFonts w:eastAsia="Times New Roman" w:cstheme="minorHAnsi"/>
                <w:i/>
                <w:iCs/>
                <w:color w:val="000000"/>
                <w:sz w:val="18"/>
                <w:szCs w:val="18"/>
                <w:lang w:eastAsia="es-PE"/>
              </w:rPr>
              <w:t xml:space="preserve">     Negativo</w:t>
            </w:r>
          </w:p>
        </w:tc>
        <w:tc>
          <w:tcPr>
            <w:tcW w:w="706" w:type="pct"/>
            <w:tcBorders>
              <w:top w:val="nil"/>
              <w:left w:val="nil"/>
              <w:bottom w:val="nil"/>
              <w:right w:val="nil"/>
            </w:tcBorders>
            <w:shd w:val="clear" w:color="auto" w:fill="auto"/>
            <w:noWrap/>
            <w:hideMark/>
          </w:tcPr>
          <w:p w14:paraId="32953464"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w:t>
            </w:r>
          </w:p>
        </w:tc>
        <w:tc>
          <w:tcPr>
            <w:tcW w:w="743" w:type="pct"/>
            <w:tcBorders>
              <w:top w:val="nil"/>
              <w:left w:val="nil"/>
              <w:bottom w:val="nil"/>
              <w:right w:val="nil"/>
            </w:tcBorders>
            <w:shd w:val="clear" w:color="auto" w:fill="auto"/>
            <w:noWrap/>
            <w:hideMark/>
          </w:tcPr>
          <w:p w14:paraId="2107ACFB"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w:t>
            </w:r>
          </w:p>
        </w:tc>
        <w:tc>
          <w:tcPr>
            <w:tcW w:w="706" w:type="pct"/>
            <w:tcBorders>
              <w:top w:val="nil"/>
              <w:left w:val="nil"/>
              <w:bottom w:val="nil"/>
              <w:right w:val="nil"/>
            </w:tcBorders>
            <w:shd w:val="clear" w:color="auto" w:fill="auto"/>
            <w:hideMark/>
          </w:tcPr>
          <w:p w14:paraId="3E83EC0E"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7.0 (16.3%)</w:t>
            </w:r>
          </w:p>
        </w:tc>
        <w:tc>
          <w:tcPr>
            <w:tcW w:w="706" w:type="pct"/>
            <w:tcBorders>
              <w:top w:val="nil"/>
              <w:left w:val="nil"/>
              <w:bottom w:val="nil"/>
              <w:right w:val="nil"/>
            </w:tcBorders>
            <w:shd w:val="clear" w:color="auto" w:fill="auto"/>
            <w:hideMark/>
          </w:tcPr>
          <w:p w14:paraId="6603AAE0"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9.0 (7.5%)</w:t>
            </w:r>
          </w:p>
        </w:tc>
        <w:tc>
          <w:tcPr>
            <w:tcW w:w="706" w:type="pct"/>
            <w:tcBorders>
              <w:top w:val="nil"/>
              <w:left w:val="nil"/>
              <w:bottom w:val="nil"/>
              <w:right w:val="nil"/>
            </w:tcBorders>
            <w:shd w:val="clear" w:color="auto" w:fill="auto"/>
            <w:hideMark/>
          </w:tcPr>
          <w:p w14:paraId="35BF52C1"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w:t>
            </w:r>
          </w:p>
        </w:tc>
        <w:tc>
          <w:tcPr>
            <w:tcW w:w="704" w:type="pct"/>
            <w:tcBorders>
              <w:top w:val="nil"/>
              <w:left w:val="nil"/>
              <w:bottom w:val="nil"/>
              <w:right w:val="nil"/>
            </w:tcBorders>
            <w:shd w:val="clear" w:color="auto" w:fill="auto"/>
            <w:hideMark/>
          </w:tcPr>
          <w:p w14:paraId="07D687DD"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w:t>
            </w:r>
          </w:p>
        </w:tc>
      </w:tr>
      <w:tr w:rsidR="00731688" w:rsidRPr="002974BE" w14:paraId="2F63A55D" w14:textId="77777777" w:rsidTr="005F269C">
        <w:trPr>
          <w:trHeight w:val="254"/>
        </w:trPr>
        <w:tc>
          <w:tcPr>
            <w:tcW w:w="729" w:type="pct"/>
            <w:tcBorders>
              <w:top w:val="nil"/>
              <w:left w:val="nil"/>
              <w:bottom w:val="nil"/>
              <w:right w:val="nil"/>
            </w:tcBorders>
            <w:shd w:val="clear" w:color="auto" w:fill="auto"/>
            <w:noWrap/>
            <w:hideMark/>
          </w:tcPr>
          <w:p w14:paraId="0AEA0B44" w14:textId="77777777" w:rsidR="00731688" w:rsidRPr="002974BE" w:rsidRDefault="00731688" w:rsidP="001D7F2E">
            <w:pPr>
              <w:spacing w:after="0" w:line="240" w:lineRule="auto"/>
              <w:jc w:val="both"/>
              <w:rPr>
                <w:rFonts w:eastAsia="Times New Roman" w:cstheme="minorHAnsi"/>
                <w:i/>
                <w:iCs/>
                <w:color w:val="000000"/>
                <w:sz w:val="18"/>
                <w:szCs w:val="18"/>
                <w:lang w:eastAsia="es-PE"/>
              </w:rPr>
            </w:pPr>
            <w:r w:rsidRPr="002974BE">
              <w:rPr>
                <w:rFonts w:eastAsia="Times New Roman" w:cstheme="minorHAnsi"/>
                <w:i/>
                <w:iCs/>
                <w:color w:val="000000"/>
                <w:sz w:val="18"/>
                <w:szCs w:val="18"/>
                <w:lang w:eastAsia="es-PE"/>
              </w:rPr>
              <w:t xml:space="preserve">     Positivo</w:t>
            </w:r>
          </w:p>
        </w:tc>
        <w:tc>
          <w:tcPr>
            <w:tcW w:w="706" w:type="pct"/>
            <w:tcBorders>
              <w:top w:val="nil"/>
              <w:left w:val="nil"/>
              <w:bottom w:val="nil"/>
              <w:right w:val="nil"/>
            </w:tcBorders>
            <w:shd w:val="clear" w:color="auto" w:fill="auto"/>
            <w:noWrap/>
            <w:hideMark/>
          </w:tcPr>
          <w:p w14:paraId="4FBED577"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42.0 (97.7%)</w:t>
            </w:r>
          </w:p>
        </w:tc>
        <w:tc>
          <w:tcPr>
            <w:tcW w:w="743" w:type="pct"/>
            <w:tcBorders>
              <w:top w:val="nil"/>
              <w:left w:val="nil"/>
              <w:bottom w:val="nil"/>
              <w:right w:val="nil"/>
            </w:tcBorders>
            <w:shd w:val="clear" w:color="auto" w:fill="auto"/>
            <w:noWrap/>
            <w:hideMark/>
          </w:tcPr>
          <w:p w14:paraId="6710250C"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120.0 (100.0%)</w:t>
            </w:r>
          </w:p>
        </w:tc>
        <w:tc>
          <w:tcPr>
            <w:tcW w:w="706" w:type="pct"/>
            <w:tcBorders>
              <w:top w:val="nil"/>
              <w:left w:val="nil"/>
              <w:bottom w:val="nil"/>
              <w:right w:val="nil"/>
            </w:tcBorders>
            <w:shd w:val="clear" w:color="auto" w:fill="auto"/>
            <w:hideMark/>
          </w:tcPr>
          <w:p w14:paraId="716A2FFF"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33.0 (76.7%)</w:t>
            </w:r>
          </w:p>
        </w:tc>
        <w:tc>
          <w:tcPr>
            <w:tcW w:w="706" w:type="pct"/>
            <w:tcBorders>
              <w:top w:val="nil"/>
              <w:left w:val="nil"/>
              <w:bottom w:val="nil"/>
              <w:right w:val="nil"/>
            </w:tcBorders>
            <w:shd w:val="clear" w:color="auto" w:fill="auto"/>
            <w:hideMark/>
          </w:tcPr>
          <w:p w14:paraId="11C04665"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106.0 (88.3%)</w:t>
            </w:r>
          </w:p>
        </w:tc>
        <w:tc>
          <w:tcPr>
            <w:tcW w:w="706" w:type="pct"/>
            <w:tcBorders>
              <w:top w:val="nil"/>
              <w:left w:val="nil"/>
              <w:bottom w:val="nil"/>
              <w:right w:val="nil"/>
            </w:tcBorders>
            <w:shd w:val="clear" w:color="auto" w:fill="auto"/>
            <w:hideMark/>
          </w:tcPr>
          <w:p w14:paraId="185954CE"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42.0 (97.7%)</w:t>
            </w:r>
          </w:p>
        </w:tc>
        <w:tc>
          <w:tcPr>
            <w:tcW w:w="704" w:type="pct"/>
            <w:tcBorders>
              <w:top w:val="nil"/>
              <w:left w:val="nil"/>
              <w:bottom w:val="nil"/>
              <w:right w:val="nil"/>
            </w:tcBorders>
            <w:shd w:val="clear" w:color="auto" w:fill="auto"/>
            <w:hideMark/>
          </w:tcPr>
          <w:p w14:paraId="36171A95"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120.0 (100.0%)</w:t>
            </w:r>
          </w:p>
        </w:tc>
      </w:tr>
      <w:tr w:rsidR="00731688" w:rsidRPr="002974BE" w14:paraId="3B99DACD" w14:textId="77777777" w:rsidTr="005F269C">
        <w:trPr>
          <w:trHeight w:val="254"/>
        </w:trPr>
        <w:tc>
          <w:tcPr>
            <w:tcW w:w="729" w:type="pct"/>
            <w:tcBorders>
              <w:top w:val="nil"/>
              <w:left w:val="nil"/>
              <w:bottom w:val="nil"/>
              <w:right w:val="nil"/>
            </w:tcBorders>
            <w:shd w:val="clear" w:color="auto" w:fill="auto"/>
            <w:noWrap/>
            <w:hideMark/>
          </w:tcPr>
          <w:p w14:paraId="1CCBB575"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Nucleocápside</w:t>
            </w:r>
          </w:p>
        </w:tc>
        <w:tc>
          <w:tcPr>
            <w:tcW w:w="706" w:type="pct"/>
            <w:tcBorders>
              <w:top w:val="nil"/>
              <w:left w:val="nil"/>
              <w:bottom w:val="nil"/>
              <w:right w:val="nil"/>
            </w:tcBorders>
            <w:shd w:val="clear" w:color="auto" w:fill="auto"/>
            <w:noWrap/>
            <w:hideMark/>
          </w:tcPr>
          <w:p w14:paraId="4DFD06B8"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p>
        </w:tc>
        <w:tc>
          <w:tcPr>
            <w:tcW w:w="743" w:type="pct"/>
            <w:tcBorders>
              <w:top w:val="nil"/>
              <w:left w:val="nil"/>
              <w:bottom w:val="nil"/>
              <w:right w:val="nil"/>
            </w:tcBorders>
            <w:shd w:val="clear" w:color="auto" w:fill="auto"/>
            <w:noWrap/>
            <w:hideMark/>
          </w:tcPr>
          <w:p w14:paraId="7EF7AA0A"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6" w:type="pct"/>
            <w:tcBorders>
              <w:top w:val="nil"/>
              <w:left w:val="nil"/>
              <w:bottom w:val="nil"/>
              <w:right w:val="nil"/>
            </w:tcBorders>
            <w:shd w:val="clear" w:color="auto" w:fill="auto"/>
            <w:hideMark/>
          </w:tcPr>
          <w:p w14:paraId="7E4342BB"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6" w:type="pct"/>
            <w:tcBorders>
              <w:top w:val="nil"/>
              <w:left w:val="nil"/>
              <w:bottom w:val="nil"/>
              <w:right w:val="nil"/>
            </w:tcBorders>
            <w:shd w:val="clear" w:color="auto" w:fill="auto"/>
            <w:hideMark/>
          </w:tcPr>
          <w:p w14:paraId="7563FEEF"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6" w:type="pct"/>
            <w:tcBorders>
              <w:top w:val="nil"/>
              <w:left w:val="nil"/>
              <w:bottom w:val="nil"/>
              <w:right w:val="nil"/>
            </w:tcBorders>
            <w:shd w:val="clear" w:color="auto" w:fill="auto"/>
            <w:hideMark/>
          </w:tcPr>
          <w:p w14:paraId="18381289"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4" w:type="pct"/>
            <w:tcBorders>
              <w:top w:val="nil"/>
              <w:left w:val="nil"/>
              <w:bottom w:val="nil"/>
              <w:right w:val="nil"/>
            </w:tcBorders>
            <w:shd w:val="clear" w:color="auto" w:fill="auto"/>
            <w:hideMark/>
          </w:tcPr>
          <w:p w14:paraId="3A2BC10D" w14:textId="77777777" w:rsidR="00731688" w:rsidRPr="002974BE" w:rsidRDefault="00731688" w:rsidP="001D7F2E">
            <w:pPr>
              <w:spacing w:after="0" w:line="240" w:lineRule="auto"/>
              <w:jc w:val="both"/>
              <w:rPr>
                <w:rFonts w:eastAsia="Times New Roman" w:cstheme="minorHAnsi"/>
                <w:sz w:val="18"/>
                <w:szCs w:val="18"/>
                <w:lang w:eastAsia="es-PE"/>
              </w:rPr>
            </w:pPr>
          </w:p>
        </w:tc>
      </w:tr>
      <w:tr w:rsidR="00731688" w:rsidRPr="002974BE" w14:paraId="34687963" w14:textId="77777777" w:rsidTr="005F269C">
        <w:trPr>
          <w:trHeight w:val="254"/>
        </w:trPr>
        <w:tc>
          <w:tcPr>
            <w:tcW w:w="729" w:type="pct"/>
            <w:tcBorders>
              <w:top w:val="nil"/>
              <w:left w:val="nil"/>
              <w:bottom w:val="nil"/>
              <w:right w:val="nil"/>
            </w:tcBorders>
            <w:shd w:val="clear" w:color="auto" w:fill="auto"/>
            <w:noWrap/>
            <w:hideMark/>
          </w:tcPr>
          <w:p w14:paraId="186BC477" w14:textId="77777777" w:rsidR="00731688" w:rsidRPr="002974BE" w:rsidRDefault="00731688" w:rsidP="001D7F2E">
            <w:pPr>
              <w:spacing w:after="0" w:line="240" w:lineRule="auto"/>
              <w:jc w:val="both"/>
              <w:rPr>
                <w:rFonts w:eastAsia="Times New Roman" w:cstheme="minorHAnsi"/>
                <w:i/>
                <w:iCs/>
                <w:color w:val="000000"/>
                <w:sz w:val="18"/>
                <w:szCs w:val="18"/>
                <w:lang w:eastAsia="es-PE"/>
              </w:rPr>
            </w:pPr>
            <w:r w:rsidRPr="002974BE">
              <w:rPr>
                <w:rFonts w:eastAsia="Times New Roman" w:cstheme="minorHAnsi"/>
                <w:i/>
                <w:iCs/>
                <w:color w:val="000000"/>
                <w:sz w:val="18"/>
                <w:szCs w:val="18"/>
                <w:lang w:eastAsia="es-PE"/>
              </w:rPr>
              <w:t xml:space="preserve">     Limítrofe</w:t>
            </w:r>
          </w:p>
        </w:tc>
        <w:tc>
          <w:tcPr>
            <w:tcW w:w="706" w:type="pct"/>
            <w:tcBorders>
              <w:top w:val="nil"/>
              <w:left w:val="nil"/>
              <w:bottom w:val="nil"/>
              <w:right w:val="nil"/>
            </w:tcBorders>
            <w:shd w:val="clear" w:color="auto" w:fill="auto"/>
            <w:noWrap/>
            <w:hideMark/>
          </w:tcPr>
          <w:p w14:paraId="795CC279"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3.0 (7.0%)</w:t>
            </w:r>
          </w:p>
        </w:tc>
        <w:tc>
          <w:tcPr>
            <w:tcW w:w="743" w:type="pct"/>
            <w:tcBorders>
              <w:top w:val="nil"/>
              <w:left w:val="nil"/>
              <w:bottom w:val="nil"/>
              <w:right w:val="nil"/>
            </w:tcBorders>
            <w:shd w:val="clear" w:color="auto" w:fill="auto"/>
            <w:noWrap/>
            <w:hideMark/>
          </w:tcPr>
          <w:p w14:paraId="769D9377"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2.0 (1.7%)</w:t>
            </w:r>
          </w:p>
        </w:tc>
        <w:tc>
          <w:tcPr>
            <w:tcW w:w="706" w:type="pct"/>
            <w:tcBorders>
              <w:top w:val="nil"/>
              <w:left w:val="nil"/>
              <w:bottom w:val="nil"/>
              <w:right w:val="nil"/>
            </w:tcBorders>
            <w:shd w:val="clear" w:color="auto" w:fill="auto"/>
            <w:hideMark/>
          </w:tcPr>
          <w:p w14:paraId="162F31A5"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4.0 (9.3%)</w:t>
            </w:r>
          </w:p>
        </w:tc>
        <w:tc>
          <w:tcPr>
            <w:tcW w:w="706" w:type="pct"/>
            <w:tcBorders>
              <w:top w:val="nil"/>
              <w:left w:val="nil"/>
              <w:bottom w:val="nil"/>
              <w:right w:val="nil"/>
            </w:tcBorders>
            <w:shd w:val="clear" w:color="auto" w:fill="auto"/>
            <w:hideMark/>
          </w:tcPr>
          <w:p w14:paraId="2B9052B2"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6.0 (5.0%)</w:t>
            </w:r>
          </w:p>
        </w:tc>
        <w:tc>
          <w:tcPr>
            <w:tcW w:w="706" w:type="pct"/>
            <w:tcBorders>
              <w:top w:val="nil"/>
              <w:left w:val="nil"/>
              <w:bottom w:val="nil"/>
              <w:right w:val="nil"/>
            </w:tcBorders>
            <w:shd w:val="clear" w:color="auto" w:fill="auto"/>
            <w:hideMark/>
          </w:tcPr>
          <w:p w14:paraId="5AC142A4"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7.0 (16.3%)</w:t>
            </w:r>
          </w:p>
        </w:tc>
        <w:tc>
          <w:tcPr>
            <w:tcW w:w="704" w:type="pct"/>
            <w:tcBorders>
              <w:top w:val="nil"/>
              <w:left w:val="nil"/>
              <w:bottom w:val="nil"/>
              <w:right w:val="nil"/>
            </w:tcBorders>
            <w:shd w:val="clear" w:color="auto" w:fill="auto"/>
            <w:hideMark/>
          </w:tcPr>
          <w:p w14:paraId="43266E76"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8.0 (6.7%)</w:t>
            </w:r>
          </w:p>
        </w:tc>
      </w:tr>
      <w:tr w:rsidR="00731688" w:rsidRPr="002974BE" w14:paraId="79A3DB9D" w14:textId="77777777" w:rsidTr="005F269C">
        <w:trPr>
          <w:trHeight w:val="254"/>
        </w:trPr>
        <w:tc>
          <w:tcPr>
            <w:tcW w:w="729" w:type="pct"/>
            <w:tcBorders>
              <w:top w:val="nil"/>
              <w:left w:val="nil"/>
              <w:bottom w:val="nil"/>
              <w:right w:val="nil"/>
            </w:tcBorders>
            <w:shd w:val="clear" w:color="auto" w:fill="auto"/>
            <w:noWrap/>
            <w:hideMark/>
          </w:tcPr>
          <w:p w14:paraId="2705A09C" w14:textId="77777777" w:rsidR="00731688" w:rsidRPr="002974BE" w:rsidRDefault="00731688" w:rsidP="001D7F2E">
            <w:pPr>
              <w:spacing w:after="0" w:line="240" w:lineRule="auto"/>
              <w:jc w:val="both"/>
              <w:rPr>
                <w:rFonts w:eastAsia="Times New Roman" w:cstheme="minorHAnsi"/>
                <w:i/>
                <w:iCs/>
                <w:color w:val="000000"/>
                <w:sz w:val="18"/>
                <w:szCs w:val="18"/>
                <w:lang w:eastAsia="es-PE"/>
              </w:rPr>
            </w:pPr>
            <w:r w:rsidRPr="002974BE">
              <w:rPr>
                <w:rFonts w:eastAsia="Times New Roman" w:cstheme="minorHAnsi"/>
                <w:i/>
                <w:iCs/>
                <w:color w:val="000000"/>
                <w:sz w:val="18"/>
                <w:szCs w:val="18"/>
                <w:lang w:eastAsia="es-PE"/>
              </w:rPr>
              <w:t xml:space="preserve">     Negativo</w:t>
            </w:r>
          </w:p>
        </w:tc>
        <w:tc>
          <w:tcPr>
            <w:tcW w:w="706" w:type="pct"/>
            <w:tcBorders>
              <w:top w:val="nil"/>
              <w:left w:val="nil"/>
              <w:bottom w:val="nil"/>
              <w:right w:val="nil"/>
            </w:tcBorders>
            <w:shd w:val="clear" w:color="auto" w:fill="auto"/>
            <w:noWrap/>
            <w:hideMark/>
          </w:tcPr>
          <w:p w14:paraId="1DEF4BC1"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27.0 (62.8%)</w:t>
            </w:r>
          </w:p>
        </w:tc>
        <w:tc>
          <w:tcPr>
            <w:tcW w:w="743" w:type="pct"/>
            <w:tcBorders>
              <w:top w:val="nil"/>
              <w:left w:val="nil"/>
              <w:bottom w:val="nil"/>
              <w:right w:val="nil"/>
            </w:tcBorders>
            <w:shd w:val="clear" w:color="auto" w:fill="auto"/>
            <w:noWrap/>
            <w:hideMark/>
          </w:tcPr>
          <w:p w14:paraId="0039DEBE"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8.0 (6.7%)</w:t>
            </w:r>
          </w:p>
        </w:tc>
        <w:tc>
          <w:tcPr>
            <w:tcW w:w="706" w:type="pct"/>
            <w:tcBorders>
              <w:top w:val="nil"/>
              <w:left w:val="nil"/>
              <w:bottom w:val="nil"/>
              <w:right w:val="nil"/>
            </w:tcBorders>
            <w:shd w:val="clear" w:color="auto" w:fill="auto"/>
            <w:hideMark/>
          </w:tcPr>
          <w:p w14:paraId="4722D845"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15.0 (34.9%)</w:t>
            </w:r>
          </w:p>
        </w:tc>
        <w:tc>
          <w:tcPr>
            <w:tcW w:w="706" w:type="pct"/>
            <w:tcBorders>
              <w:top w:val="nil"/>
              <w:left w:val="nil"/>
              <w:bottom w:val="nil"/>
              <w:right w:val="nil"/>
            </w:tcBorders>
            <w:shd w:val="clear" w:color="auto" w:fill="auto"/>
            <w:hideMark/>
          </w:tcPr>
          <w:p w14:paraId="1ECFA038"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29.0 (24.2%)</w:t>
            </w:r>
          </w:p>
        </w:tc>
        <w:tc>
          <w:tcPr>
            <w:tcW w:w="706" w:type="pct"/>
            <w:tcBorders>
              <w:top w:val="nil"/>
              <w:left w:val="nil"/>
              <w:bottom w:val="nil"/>
              <w:right w:val="nil"/>
            </w:tcBorders>
            <w:shd w:val="clear" w:color="auto" w:fill="auto"/>
            <w:hideMark/>
          </w:tcPr>
          <w:p w14:paraId="1E423B58"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18.0 (41.9%)</w:t>
            </w:r>
          </w:p>
        </w:tc>
        <w:tc>
          <w:tcPr>
            <w:tcW w:w="704" w:type="pct"/>
            <w:tcBorders>
              <w:top w:val="nil"/>
              <w:left w:val="nil"/>
              <w:bottom w:val="nil"/>
              <w:right w:val="nil"/>
            </w:tcBorders>
            <w:shd w:val="clear" w:color="auto" w:fill="auto"/>
            <w:hideMark/>
          </w:tcPr>
          <w:p w14:paraId="6DEB5EE1"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13.0 (10.8%)</w:t>
            </w:r>
          </w:p>
        </w:tc>
      </w:tr>
      <w:tr w:rsidR="00731688" w:rsidRPr="002974BE" w14:paraId="10FA9D6A" w14:textId="77777777" w:rsidTr="005F269C">
        <w:trPr>
          <w:trHeight w:val="254"/>
        </w:trPr>
        <w:tc>
          <w:tcPr>
            <w:tcW w:w="729" w:type="pct"/>
            <w:tcBorders>
              <w:top w:val="nil"/>
              <w:left w:val="nil"/>
              <w:bottom w:val="nil"/>
              <w:right w:val="nil"/>
            </w:tcBorders>
            <w:shd w:val="clear" w:color="auto" w:fill="auto"/>
            <w:noWrap/>
            <w:hideMark/>
          </w:tcPr>
          <w:p w14:paraId="1E2D1C3C" w14:textId="77777777" w:rsidR="00731688" w:rsidRPr="002974BE" w:rsidRDefault="00731688" w:rsidP="001D7F2E">
            <w:pPr>
              <w:spacing w:after="0" w:line="240" w:lineRule="auto"/>
              <w:jc w:val="both"/>
              <w:rPr>
                <w:rFonts w:eastAsia="Times New Roman" w:cstheme="minorHAnsi"/>
                <w:i/>
                <w:iCs/>
                <w:color w:val="000000"/>
                <w:sz w:val="18"/>
                <w:szCs w:val="18"/>
                <w:lang w:eastAsia="es-PE"/>
              </w:rPr>
            </w:pPr>
            <w:r w:rsidRPr="002974BE">
              <w:rPr>
                <w:rFonts w:eastAsia="Times New Roman" w:cstheme="minorHAnsi"/>
                <w:i/>
                <w:iCs/>
                <w:color w:val="000000"/>
                <w:sz w:val="18"/>
                <w:szCs w:val="18"/>
                <w:lang w:eastAsia="es-PE"/>
              </w:rPr>
              <w:t xml:space="preserve">     Positivo</w:t>
            </w:r>
          </w:p>
        </w:tc>
        <w:tc>
          <w:tcPr>
            <w:tcW w:w="706" w:type="pct"/>
            <w:tcBorders>
              <w:top w:val="nil"/>
              <w:left w:val="nil"/>
              <w:bottom w:val="nil"/>
              <w:right w:val="nil"/>
            </w:tcBorders>
            <w:shd w:val="clear" w:color="auto" w:fill="auto"/>
            <w:noWrap/>
            <w:hideMark/>
          </w:tcPr>
          <w:p w14:paraId="43A0E990"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13.0 (30.2%)</w:t>
            </w:r>
          </w:p>
        </w:tc>
        <w:tc>
          <w:tcPr>
            <w:tcW w:w="743" w:type="pct"/>
            <w:tcBorders>
              <w:top w:val="nil"/>
              <w:left w:val="nil"/>
              <w:bottom w:val="nil"/>
              <w:right w:val="nil"/>
            </w:tcBorders>
            <w:shd w:val="clear" w:color="auto" w:fill="auto"/>
            <w:noWrap/>
            <w:hideMark/>
          </w:tcPr>
          <w:p w14:paraId="0F2D02E5"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110.0 (91.7%)</w:t>
            </w:r>
          </w:p>
        </w:tc>
        <w:tc>
          <w:tcPr>
            <w:tcW w:w="706" w:type="pct"/>
            <w:tcBorders>
              <w:top w:val="nil"/>
              <w:left w:val="nil"/>
              <w:bottom w:val="nil"/>
              <w:right w:val="nil"/>
            </w:tcBorders>
            <w:shd w:val="clear" w:color="auto" w:fill="auto"/>
            <w:hideMark/>
          </w:tcPr>
          <w:p w14:paraId="4CD4CCE7"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24.0 (55.8%)</w:t>
            </w:r>
          </w:p>
        </w:tc>
        <w:tc>
          <w:tcPr>
            <w:tcW w:w="706" w:type="pct"/>
            <w:tcBorders>
              <w:top w:val="nil"/>
              <w:left w:val="nil"/>
              <w:bottom w:val="nil"/>
              <w:right w:val="nil"/>
            </w:tcBorders>
            <w:shd w:val="clear" w:color="auto" w:fill="auto"/>
            <w:hideMark/>
          </w:tcPr>
          <w:p w14:paraId="1AC59F39"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85.0 (70.8%)</w:t>
            </w:r>
          </w:p>
        </w:tc>
        <w:tc>
          <w:tcPr>
            <w:tcW w:w="706" w:type="pct"/>
            <w:tcBorders>
              <w:top w:val="nil"/>
              <w:left w:val="nil"/>
              <w:bottom w:val="nil"/>
              <w:right w:val="nil"/>
            </w:tcBorders>
            <w:shd w:val="clear" w:color="auto" w:fill="auto"/>
            <w:hideMark/>
          </w:tcPr>
          <w:p w14:paraId="2A7A175D"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18.0 (41.9%)</w:t>
            </w:r>
          </w:p>
        </w:tc>
        <w:tc>
          <w:tcPr>
            <w:tcW w:w="704" w:type="pct"/>
            <w:tcBorders>
              <w:top w:val="nil"/>
              <w:left w:val="nil"/>
              <w:bottom w:val="nil"/>
              <w:right w:val="nil"/>
            </w:tcBorders>
            <w:shd w:val="clear" w:color="auto" w:fill="auto"/>
            <w:hideMark/>
          </w:tcPr>
          <w:p w14:paraId="28DF1378"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99.0 (82.5%)</w:t>
            </w:r>
          </w:p>
        </w:tc>
      </w:tr>
      <w:tr w:rsidR="00731688" w:rsidRPr="002974BE" w14:paraId="007A90D8" w14:textId="77777777" w:rsidTr="005F269C">
        <w:trPr>
          <w:trHeight w:val="254"/>
        </w:trPr>
        <w:tc>
          <w:tcPr>
            <w:tcW w:w="729" w:type="pct"/>
            <w:tcBorders>
              <w:top w:val="nil"/>
              <w:left w:val="nil"/>
              <w:bottom w:val="nil"/>
              <w:right w:val="nil"/>
            </w:tcBorders>
            <w:shd w:val="clear" w:color="auto" w:fill="auto"/>
            <w:hideMark/>
          </w:tcPr>
          <w:p w14:paraId="7975B589"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r w:rsidRPr="002974BE">
              <w:rPr>
                <w:rFonts w:eastAsia="Times New Roman" w:cstheme="minorHAnsi"/>
                <w:b/>
                <w:bCs/>
                <w:color w:val="000000"/>
                <w:sz w:val="18"/>
                <w:szCs w:val="18"/>
                <w:lang w:eastAsia="es-PE"/>
              </w:rPr>
              <w:t>MPRO</w:t>
            </w:r>
          </w:p>
        </w:tc>
        <w:tc>
          <w:tcPr>
            <w:tcW w:w="706" w:type="pct"/>
            <w:tcBorders>
              <w:top w:val="nil"/>
              <w:left w:val="nil"/>
              <w:bottom w:val="nil"/>
              <w:right w:val="nil"/>
            </w:tcBorders>
            <w:shd w:val="clear" w:color="auto" w:fill="auto"/>
            <w:noWrap/>
            <w:hideMark/>
          </w:tcPr>
          <w:p w14:paraId="33C2344B" w14:textId="77777777" w:rsidR="00731688" w:rsidRPr="002974BE" w:rsidRDefault="00731688" w:rsidP="001D7F2E">
            <w:pPr>
              <w:spacing w:after="0" w:line="240" w:lineRule="auto"/>
              <w:jc w:val="both"/>
              <w:rPr>
                <w:rFonts w:eastAsia="Times New Roman" w:cstheme="minorHAnsi"/>
                <w:b/>
                <w:bCs/>
                <w:color w:val="000000"/>
                <w:sz w:val="18"/>
                <w:szCs w:val="18"/>
                <w:lang w:eastAsia="es-PE"/>
              </w:rPr>
            </w:pPr>
          </w:p>
        </w:tc>
        <w:tc>
          <w:tcPr>
            <w:tcW w:w="743" w:type="pct"/>
            <w:tcBorders>
              <w:top w:val="nil"/>
              <w:left w:val="nil"/>
              <w:bottom w:val="nil"/>
              <w:right w:val="nil"/>
            </w:tcBorders>
            <w:shd w:val="clear" w:color="auto" w:fill="auto"/>
            <w:noWrap/>
            <w:hideMark/>
          </w:tcPr>
          <w:p w14:paraId="3C5CEDE6"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6" w:type="pct"/>
            <w:tcBorders>
              <w:top w:val="nil"/>
              <w:left w:val="nil"/>
              <w:bottom w:val="nil"/>
              <w:right w:val="nil"/>
            </w:tcBorders>
            <w:shd w:val="clear" w:color="auto" w:fill="auto"/>
            <w:hideMark/>
          </w:tcPr>
          <w:p w14:paraId="541F636D"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6" w:type="pct"/>
            <w:tcBorders>
              <w:top w:val="nil"/>
              <w:left w:val="nil"/>
              <w:bottom w:val="nil"/>
              <w:right w:val="nil"/>
            </w:tcBorders>
            <w:shd w:val="clear" w:color="auto" w:fill="auto"/>
            <w:hideMark/>
          </w:tcPr>
          <w:p w14:paraId="53362264"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6" w:type="pct"/>
            <w:tcBorders>
              <w:top w:val="nil"/>
              <w:left w:val="nil"/>
              <w:bottom w:val="nil"/>
              <w:right w:val="nil"/>
            </w:tcBorders>
            <w:shd w:val="clear" w:color="auto" w:fill="auto"/>
            <w:hideMark/>
          </w:tcPr>
          <w:p w14:paraId="5ED22F57" w14:textId="77777777" w:rsidR="00731688" w:rsidRPr="002974BE" w:rsidRDefault="00731688" w:rsidP="001D7F2E">
            <w:pPr>
              <w:spacing w:after="0" w:line="240" w:lineRule="auto"/>
              <w:jc w:val="both"/>
              <w:rPr>
                <w:rFonts w:eastAsia="Times New Roman" w:cstheme="minorHAnsi"/>
                <w:sz w:val="18"/>
                <w:szCs w:val="18"/>
                <w:lang w:eastAsia="es-PE"/>
              </w:rPr>
            </w:pPr>
          </w:p>
        </w:tc>
        <w:tc>
          <w:tcPr>
            <w:tcW w:w="704" w:type="pct"/>
            <w:tcBorders>
              <w:top w:val="nil"/>
              <w:left w:val="nil"/>
              <w:bottom w:val="nil"/>
              <w:right w:val="nil"/>
            </w:tcBorders>
            <w:shd w:val="clear" w:color="auto" w:fill="auto"/>
            <w:hideMark/>
          </w:tcPr>
          <w:p w14:paraId="406F14B7" w14:textId="77777777" w:rsidR="00731688" w:rsidRPr="002974BE" w:rsidRDefault="00731688" w:rsidP="001D7F2E">
            <w:pPr>
              <w:spacing w:after="0" w:line="240" w:lineRule="auto"/>
              <w:jc w:val="both"/>
              <w:rPr>
                <w:rFonts w:eastAsia="Times New Roman" w:cstheme="minorHAnsi"/>
                <w:sz w:val="18"/>
                <w:szCs w:val="18"/>
                <w:lang w:eastAsia="es-PE"/>
              </w:rPr>
            </w:pPr>
          </w:p>
        </w:tc>
      </w:tr>
      <w:tr w:rsidR="00731688" w:rsidRPr="002974BE" w14:paraId="000A215F" w14:textId="77777777" w:rsidTr="005F269C">
        <w:trPr>
          <w:trHeight w:val="254"/>
        </w:trPr>
        <w:tc>
          <w:tcPr>
            <w:tcW w:w="729" w:type="pct"/>
            <w:tcBorders>
              <w:top w:val="nil"/>
              <w:left w:val="nil"/>
              <w:bottom w:val="nil"/>
              <w:right w:val="nil"/>
            </w:tcBorders>
            <w:shd w:val="clear" w:color="auto" w:fill="auto"/>
            <w:noWrap/>
            <w:hideMark/>
          </w:tcPr>
          <w:p w14:paraId="79135235" w14:textId="77777777" w:rsidR="00731688" w:rsidRPr="002974BE" w:rsidRDefault="00731688" w:rsidP="001D7F2E">
            <w:pPr>
              <w:spacing w:after="0" w:line="240" w:lineRule="auto"/>
              <w:jc w:val="both"/>
              <w:rPr>
                <w:rFonts w:eastAsia="Times New Roman" w:cstheme="minorHAnsi"/>
                <w:i/>
                <w:iCs/>
                <w:color w:val="000000"/>
                <w:sz w:val="18"/>
                <w:szCs w:val="18"/>
                <w:lang w:eastAsia="es-PE"/>
              </w:rPr>
            </w:pPr>
            <w:r w:rsidRPr="002974BE">
              <w:rPr>
                <w:rFonts w:eastAsia="Times New Roman" w:cstheme="minorHAnsi"/>
                <w:i/>
                <w:iCs/>
                <w:color w:val="000000"/>
                <w:sz w:val="18"/>
                <w:szCs w:val="18"/>
                <w:lang w:eastAsia="es-PE"/>
              </w:rPr>
              <w:t xml:space="preserve">     Limítrofe</w:t>
            </w:r>
          </w:p>
        </w:tc>
        <w:tc>
          <w:tcPr>
            <w:tcW w:w="706" w:type="pct"/>
            <w:tcBorders>
              <w:top w:val="nil"/>
              <w:left w:val="nil"/>
              <w:bottom w:val="nil"/>
              <w:right w:val="nil"/>
            </w:tcBorders>
            <w:shd w:val="clear" w:color="auto" w:fill="auto"/>
            <w:noWrap/>
            <w:hideMark/>
          </w:tcPr>
          <w:p w14:paraId="7545ADBE"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1.0 (2.3%)</w:t>
            </w:r>
          </w:p>
        </w:tc>
        <w:tc>
          <w:tcPr>
            <w:tcW w:w="743" w:type="pct"/>
            <w:tcBorders>
              <w:top w:val="nil"/>
              <w:left w:val="nil"/>
              <w:bottom w:val="nil"/>
              <w:right w:val="nil"/>
            </w:tcBorders>
            <w:shd w:val="clear" w:color="auto" w:fill="auto"/>
            <w:noWrap/>
            <w:hideMark/>
          </w:tcPr>
          <w:p w14:paraId="0D274C63"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2.0 (1.7%)</w:t>
            </w:r>
          </w:p>
        </w:tc>
        <w:tc>
          <w:tcPr>
            <w:tcW w:w="706" w:type="pct"/>
            <w:tcBorders>
              <w:top w:val="nil"/>
              <w:left w:val="nil"/>
              <w:bottom w:val="nil"/>
              <w:right w:val="nil"/>
            </w:tcBorders>
            <w:shd w:val="clear" w:color="auto" w:fill="auto"/>
            <w:hideMark/>
          </w:tcPr>
          <w:p w14:paraId="37AA16E8"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1.0 (2.3%)</w:t>
            </w:r>
          </w:p>
        </w:tc>
        <w:tc>
          <w:tcPr>
            <w:tcW w:w="706" w:type="pct"/>
            <w:tcBorders>
              <w:top w:val="nil"/>
              <w:left w:val="nil"/>
              <w:bottom w:val="nil"/>
              <w:right w:val="nil"/>
            </w:tcBorders>
            <w:shd w:val="clear" w:color="auto" w:fill="auto"/>
            <w:hideMark/>
          </w:tcPr>
          <w:p w14:paraId="133D8AD1"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3.0 (2.5%)</w:t>
            </w:r>
          </w:p>
        </w:tc>
        <w:tc>
          <w:tcPr>
            <w:tcW w:w="706" w:type="pct"/>
            <w:tcBorders>
              <w:top w:val="nil"/>
              <w:left w:val="nil"/>
              <w:bottom w:val="nil"/>
              <w:right w:val="nil"/>
            </w:tcBorders>
            <w:shd w:val="clear" w:color="auto" w:fill="auto"/>
            <w:hideMark/>
          </w:tcPr>
          <w:p w14:paraId="3B0320CF"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6.0 (14.0%)</w:t>
            </w:r>
          </w:p>
        </w:tc>
        <w:tc>
          <w:tcPr>
            <w:tcW w:w="704" w:type="pct"/>
            <w:tcBorders>
              <w:top w:val="nil"/>
              <w:left w:val="nil"/>
              <w:bottom w:val="nil"/>
              <w:right w:val="nil"/>
            </w:tcBorders>
            <w:shd w:val="clear" w:color="auto" w:fill="auto"/>
            <w:hideMark/>
          </w:tcPr>
          <w:p w14:paraId="020E7779"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9.0 (7.5%)</w:t>
            </w:r>
          </w:p>
        </w:tc>
      </w:tr>
      <w:tr w:rsidR="00731688" w:rsidRPr="002974BE" w14:paraId="1912E575" w14:textId="77777777" w:rsidTr="005F269C">
        <w:trPr>
          <w:trHeight w:val="254"/>
        </w:trPr>
        <w:tc>
          <w:tcPr>
            <w:tcW w:w="729" w:type="pct"/>
            <w:tcBorders>
              <w:top w:val="nil"/>
              <w:left w:val="nil"/>
              <w:bottom w:val="nil"/>
              <w:right w:val="nil"/>
            </w:tcBorders>
            <w:shd w:val="clear" w:color="auto" w:fill="auto"/>
            <w:noWrap/>
            <w:hideMark/>
          </w:tcPr>
          <w:p w14:paraId="1FAEE6C6" w14:textId="77777777" w:rsidR="00731688" w:rsidRPr="002974BE" w:rsidRDefault="00731688" w:rsidP="001D7F2E">
            <w:pPr>
              <w:spacing w:after="0" w:line="240" w:lineRule="auto"/>
              <w:jc w:val="both"/>
              <w:rPr>
                <w:rFonts w:eastAsia="Times New Roman" w:cstheme="minorHAnsi"/>
                <w:i/>
                <w:iCs/>
                <w:color w:val="000000"/>
                <w:sz w:val="18"/>
                <w:szCs w:val="18"/>
                <w:lang w:eastAsia="es-PE"/>
              </w:rPr>
            </w:pPr>
            <w:r w:rsidRPr="002974BE">
              <w:rPr>
                <w:rFonts w:eastAsia="Times New Roman" w:cstheme="minorHAnsi"/>
                <w:i/>
                <w:iCs/>
                <w:color w:val="000000"/>
                <w:sz w:val="18"/>
                <w:szCs w:val="18"/>
                <w:lang w:eastAsia="es-PE"/>
              </w:rPr>
              <w:t xml:space="preserve">     Negativo</w:t>
            </w:r>
          </w:p>
        </w:tc>
        <w:tc>
          <w:tcPr>
            <w:tcW w:w="706" w:type="pct"/>
            <w:tcBorders>
              <w:top w:val="nil"/>
              <w:left w:val="nil"/>
              <w:bottom w:val="nil"/>
              <w:right w:val="nil"/>
            </w:tcBorders>
            <w:shd w:val="clear" w:color="auto" w:fill="auto"/>
            <w:noWrap/>
            <w:hideMark/>
          </w:tcPr>
          <w:p w14:paraId="13D7F951"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37.0 (86.0%)</w:t>
            </w:r>
          </w:p>
        </w:tc>
        <w:tc>
          <w:tcPr>
            <w:tcW w:w="743" w:type="pct"/>
            <w:tcBorders>
              <w:top w:val="nil"/>
              <w:left w:val="nil"/>
              <w:bottom w:val="nil"/>
              <w:right w:val="nil"/>
            </w:tcBorders>
            <w:shd w:val="clear" w:color="auto" w:fill="auto"/>
            <w:noWrap/>
            <w:hideMark/>
          </w:tcPr>
          <w:p w14:paraId="5F84548E"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12.0 (10.0%)</w:t>
            </w:r>
          </w:p>
        </w:tc>
        <w:tc>
          <w:tcPr>
            <w:tcW w:w="706" w:type="pct"/>
            <w:tcBorders>
              <w:top w:val="nil"/>
              <w:left w:val="nil"/>
              <w:bottom w:val="nil"/>
              <w:right w:val="nil"/>
            </w:tcBorders>
            <w:shd w:val="clear" w:color="auto" w:fill="auto"/>
            <w:hideMark/>
          </w:tcPr>
          <w:p w14:paraId="72ACAFA6"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19.0 (44.2%)</w:t>
            </w:r>
          </w:p>
        </w:tc>
        <w:tc>
          <w:tcPr>
            <w:tcW w:w="706" w:type="pct"/>
            <w:tcBorders>
              <w:top w:val="nil"/>
              <w:left w:val="nil"/>
              <w:bottom w:val="nil"/>
              <w:right w:val="nil"/>
            </w:tcBorders>
            <w:shd w:val="clear" w:color="auto" w:fill="auto"/>
            <w:hideMark/>
          </w:tcPr>
          <w:p w14:paraId="65DB7694"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32.0 (26.7%)</w:t>
            </w:r>
          </w:p>
        </w:tc>
        <w:tc>
          <w:tcPr>
            <w:tcW w:w="706" w:type="pct"/>
            <w:tcBorders>
              <w:top w:val="nil"/>
              <w:left w:val="nil"/>
              <w:bottom w:val="nil"/>
              <w:right w:val="nil"/>
            </w:tcBorders>
            <w:shd w:val="clear" w:color="auto" w:fill="auto"/>
            <w:hideMark/>
          </w:tcPr>
          <w:p w14:paraId="2F60EE99"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27.0 (62.8%)</w:t>
            </w:r>
          </w:p>
        </w:tc>
        <w:tc>
          <w:tcPr>
            <w:tcW w:w="704" w:type="pct"/>
            <w:tcBorders>
              <w:top w:val="nil"/>
              <w:left w:val="nil"/>
              <w:bottom w:val="nil"/>
              <w:right w:val="nil"/>
            </w:tcBorders>
            <w:shd w:val="clear" w:color="auto" w:fill="auto"/>
            <w:hideMark/>
          </w:tcPr>
          <w:p w14:paraId="34AE2D76"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26.0 (21.7%)</w:t>
            </w:r>
          </w:p>
        </w:tc>
      </w:tr>
      <w:tr w:rsidR="00731688" w:rsidRPr="002974BE" w14:paraId="53B1DFC1" w14:textId="77777777" w:rsidTr="005F269C">
        <w:trPr>
          <w:trHeight w:val="254"/>
        </w:trPr>
        <w:tc>
          <w:tcPr>
            <w:tcW w:w="729" w:type="pct"/>
            <w:tcBorders>
              <w:top w:val="nil"/>
              <w:left w:val="nil"/>
              <w:bottom w:val="single" w:sz="4" w:space="0" w:color="000000"/>
              <w:right w:val="nil"/>
            </w:tcBorders>
            <w:shd w:val="clear" w:color="auto" w:fill="auto"/>
            <w:noWrap/>
            <w:hideMark/>
          </w:tcPr>
          <w:p w14:paraId="04F967F7" w14:textId="77777777" w:rsidR="00731688" w:rsidRPr="002974BE" w:rsidRDefault="00731688" w:rsidP="001D7F2E">
            <w:pPr>
              <w:spacing w:after="0" w:line="240" w:lineRule="auto"/>
              <w:jc w:val="both"/>
              <w:rPr>
                <w:rFonts w:eastAsia="Times New Roman" w:cstheme="minorHAnsi"/>
                <w:i/>
                <w:iCs/>
                <w:color w:val="000000"/>
                <w:sz w:val="18"/>
                <w:szCs w:val="18"/>
                <w:lang w:eastAsia="es-PE"/>
              </w:rPr>
            </w:pPr>
            <w:r w:rsidRPr="002974BE">
              <w:rPr>
                <w:rFonts w:eastAsia="Times New Roman" w:cstheme="minorHAnsi"/>
                <w:i/>
                <w:iCs/>
                <w:color w:val="000000"/>
                <w:sz w:val="18"/>
                <w:szCs w:val="18"/>
                <w:lang w:eastAsia="es-PE"/>
              </w:rPr>
              <w:t xml:space="preserve">     Positivo</w:t>
            </w:r>
          </w:p>
        </w:tc>
        <w:tc>
          <w:tcPr>
            <w:tcW w:w="706" w:type="pct"/>
            <w:tcBorders>
              <w:top w:val="nil"/>
              <w:left w:val="nil"/>
              <w:bottom w:val="single" w:sz="4" w:space="0" w:color="000000"/>
              <w:right w:val="nil"/>
            </w:tcBorders>
            <w:shd w:val="clear" w:color="auto" w:fill="auto"/>
            <w:noWrap/>
            <w:hideMark/>
          </w:tcPr>
          <w:p w14:paraId="6F161385"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5.0 (11.6%)</w:t>
            </w:r>
          </w:p>
        </w:tc>
        <w:tc>
          <w:tcPr>
            <w:tcW w:w="743" w:type="pct"/>
            <w:tcBorders>
              <w:top w:val="nil"/>
              <w:left w:val="nil"/>
              <w:bottom w:val="single" w:sz="4" w:space="0" w:color="000000"/>
              <w:right w:val="nil"/>
            </w:tcBorders>
            <w:shd w:val="clear" w:color="auto" w:fill="auto"/>
            <w:noWrap/>
            <w:hideMark/>
          </w:tcPr>
          <w:p w14:paraId="3CF7B646"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106.0 (88.3%)</w:t>
            </w:r>
          </w:p>
        </w:tc>
        <w:tc>
          <w:tcPr>
            <w:tcW w:w="706" w:type="pct"/>
            <w:tcBorders>
              <w:top w:val="nil"/>
              <w:left w:val="nil"/>
              <w:bottom w:val="single" w:sz="4" w:space="0" w:color="000000"/>
              <w:right w:val="nil"/>
            </w:tcBorders>
            <w:shd w:val="clear" w:color="auto" w:fill="auto"/>
            <w:hideMark/>
          </w:tcPr>
          <w:p w14:paraId="06187712"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23.0 (53.5%)</w:t>
            </w:r>
          </w:p>
        </w:tc>
        <w:tc>
          <w:tcPr>
            <w:tcW w:w="706" w:type="pct"/>
            <w:tcBorders>
              <w:top w:val="nil"/>
              <w:left w:val="nil"/>
              <w:bottom w:val="single" w:sz="4" w:space="0" w:color="000000"/>
              <w:right w:val="nil"/>
            </w:tcBorders>
            <w:shd w:val="clear" w:color="auto" w:fill="auto"/>
            <w:hideMark/>
          </w:tcPr>
          <w:p w14:paraId="739CA6A2"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85.0 (70.8%)</w:t>
            </w:r>
          </w:p>
        </w:tc>
        <w:tc>
          <w:tcPr>
            <w:tcW w:w="706" w:type="pct"/>
            <w:tcBorders>
              <w:top w:val="nil"/>
              <w:left w:val="nil"/>
              <w:bottom w:val="single" w:sz="4" w:space="0" w:color="000000"/>
              <w:right w:val="nil"/>
            </w:tcBorders>
            <w:shd w:val="clear" w:color="auto" w:fill="auto"/>
            <w:hideMark/>
          </w:tcPr>
          <w:p w14:paraId="5BB17E6D"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10.0 (23.3%)</w:t>
            </w:r>
          </w:p>
        </w:tc>
        <w:tc>
          <w:tcPr>
            <w:tcW w:w="704" w:type="pct"/>
            <w:tcBorders>
              <w:top w:val="nil"/>
              <w:left w:val="nil"/>
              <w:bottom w:val="single" w:sz="4" w:space="0" w:color="000000"/>
              <w:right w:val="nil"/>
            </w:tcBorders>
            <w:shd w:val="clear" w:color="auto" w:fill="auto"/>
            <w:hideMark/>
          </w:tcPr>
          <w:p w14:paraId="434BF2E4" w14:textId="77777777" w:rsidR="00731688" w:rsidRPr="002974BE" w:rsidRDefault="00731688" w:rsidP="001D7F2E">
            <w:pPr>
              <w:spacing w:after="0" w:line="240" w:lineRule="auto"/>
              <w:jc w:val="both"/>
              <w:rPr>
                <w:rFonts w:eastAsia="Times New Roman" w:cstheme="minorHAnsi"/>
                <w:color w:val="000000"/>
                <w:sz w:val="18"/>
                <w:szCs w:val="18"/>
                <w:lang w:eastAsia="es-PE"/>
              </w:rPr>
            </w:pPr>
            <w:r w:rsidRPr="002974BE">
              <w:rPr>
                <w:rFonts w:eastAsia="Times New Roman" w:cstheme="minorHAnsi"/>
                <w:color w:val="000000"/>
                <w:sz w:val="18"/>
                <w:szCs w:val="18"/>
                <w:lang w:eastAsia="es-PE"/>
              </w:rPr>
              <w:t>85.0 (70.8%)</w:t>
            </w:r>
          </w:p>
        </w:tc>
      </w:tr>
    </w:tbl>
    <w:p w14:paraId="1995DFE5" w14:textId="77777777" w:rsidR="00731688" w:rsidRPr="002974BE" w:rsidRDefault="00731688" w:rsidP="001D7F2E">
      <w:pPr>
        <w:pStyle w:val="Textoindependiente"/>
        <w:spacing w:before="0" w:after="0" w:line="360" w:lineRule="auto"/>
        <w:jc w:val="both"/>
        <w:rPr>
          <w:rFonts w:cstheme="minorHAnsi"/>
          <w:sz w:val="22"/>
          <w:szCs w:val="22"/>
        </w:rPr>
      </w:pPr>
    </w:p>
    <w:p w14:paraId="25BB2497" w14:textId="77777777" w:rsidR="00731688" w:rsidRPr="002974BE" w:rsidRDefault="00731688" w:rsidP="001D7F2E">
      <w:pPr>
        <w:pStyle w:val="Textoindependiente"/>
        <w:spacing w:before="0" w:after="0" w:line="360" w:lineRule="auto"/>
        <w:jc w:val="both"/>
        <w:rPr>
          <w:rFonts w:cstheme="minorHAnsi"/>
          <w:color w:val="FF0000"/>
          <w:sz w:val="22"/>
          <w:szCs w:val="22"/>
        </w:rPr>
      </w:pPr>
      <w:r w:rsidRPr="002974BE">
        <w:rPr>
          <w:rFonts w:cstheme="minorHAnsi"/>
          <w:sz w:val="22"/>
          <w:szCs w:val="22"/>
        </w:rPr>
        <w:t xml:space="preserve">De los 163 </w:t>
      </w:r>
      <w:r w:rsidRPr="00CB0698">
        <w:rPr>
          <w:rFonts w:cstheme="minorHAnsi"/>
          <w:sz w:val="22"/>
          <w:szCs w:val="22"/>
          <w:highlight w:val="yellow"/>
        </w:rPr>
        <w:t>participantes</w:t>
      </w:r>
      <w:r w:rsidRPr="002974BE">
        <w:rPr>
          <w:rFonts w:cstheme="minorHAnsi"/>
          <w:sz w:val="22"/>
          <w:szCs w:val="22"/>
        </w:rPr>
        <w:t xml:space="preserve"> del estudio, 120 refirieron haber tenido la infección por el </w:t>
      </w:r>
      <w:r w:rsidRPr="002974BE">
        <w:rPr>
          <w:rFonts w:cstheme="minorHAnsi"/>
          <w:color w:val="FF0000"/>
          <w:sz w:val="22"/>
          <w:szCs w:val="22"/>
        </w:rPr>
        <w:t xml:space="preserve">SARS-CoV-2 en algún momento previo al inicio del estudio, de ellos el 100%, 70.8% y 90% presentaron anticuerpos para los isotipos IgG, IgM e IgA respectivamente con respecto al antígeno RBD; 100%, 88.3% y 100% presentaron anticuerpos para los isotipos IgG, IgM e IgA para el antígeno </w:t>
      </w:r>
      <w:commentRangeStart w:id="4"/>
      <w:r w:rsidRPr="002974BE">
        <w:rPr>
          <w:rFonts w:cstheme="minorHAnsi"/>
          <w:color w:val="FF0000"/>
          <w:sz w:val="22"/>
          <w:szCs w:val="22"/>
        </w:rPr>
        <w:t>Espiga</w:t>
      </w:r>
      <w:commentRangeEnd w:id="4"/>
      <w:r w:rsidR="007C168E">
        <w:rPr>
          <w:rStyle w:val="Refdecomentario"/>
        </w:rPr>
        <w:commentReference w:id="4"/>
      </w:r>
      <w:r w:rsidRPr="002974BE">
        <w:rPr>
          <w:rFonts w:cstheme="minorHAnsi"/>
          <w:color w:val="FF0000"/>
          <w:sz w:val="22"/>
          <w:szCs w:val="22"/>
        </w:rPr>
        <w:t xml:space="preserve">; 91.7%, 85% y 99% presentaron anticuerpos para los isotipos IgG, IgM e IgA para el antígeno </w:t>
      </w:r>
      <w:proofErr w:type="spellStart"/>
      <w:r w:rsidRPr="002974BE">
        <w:rPr>
          <w:rFonts w:cstheme="minorHAnsi"/>
          <w:color w:val="FF0000"/>
          <w:sz w:val="22"/>
          <w:szCs w:val="22"/>
        </w:rPr>
        <w:t>Nucleocapside</w:t>
      </w:r>
      <w:proofErr w:type="spellEnd"/>
      <w:r w:rsidRPr="002974BE">
        <w:rPr>
          <w:rFonts w:cstheme="minorHAnsi"/>
          <w:color w:val="FF0000"/>
          <w:sz w:val="22"/>
          <w:szCs w:val="22"/>
        </w:rPr>
        <w:t xml:space="preserve"> y  88.3%, 85% y 85% presentaron anticuerpos para los isotipos IgG, IgM e IgA respectivamente para el antígeno MPRO. </w:t>
      </w:r>
    </w:p>
    <w:p w14:paraId="17778AE0" w14:textId="77B9CC32" w:rsidR="00731688" w:rsidRPr="002974BE" w:rsidRDefault="00731688" w:rsidP="001D7F2E">
      <w:pPr>
        <w:pStyle w:val="Textoindependiente"/>
        <w:spacing w:before="0" w:after="0" w:line="360" w:lineRule="auto"/>
        <w:jc w:val="both"/>
        <w:rPr>
          <w:rFonts w:cstheme="minorHAnsi"/>
          <w:sz w:val="22"/>
          <w:szCs w:val="22"/>
        </w:rPr>
      </w:pPr>
      <w:r w:rsidRPr="002974BE">
        <w:rPr>
          <w:rFonts w:cstheme="minorHAnsi"/>
          <w:color w:val="FF0000"/>
          <w:sz w:val="22"/>
          <w:szCs w:val="22"/>
        </w:rPr>
        <w:t xml:space="preserve">Un total de 63 participantes refirieron nunca haber contraído la infección por el SARS-CoV-2, de ellos el 97.7%, 76.7% y 88.4% presentaron anticuerpos para los isotipos IgG, IgM e IgA respectivamente con respecto al antígeno RBD; 97.7%, 76.7% y 97.7% presentaron anticuerpos para los isotipos IgG, IgM e IgA respectivamente con respecto al antígeno Espiga; 97.7%, 76.7% y 97.7% presentaron anticuerpos para los isotipos IgG, IgM e IgA respectivamente con respecto al antígeno Espiga; ; 30.2%, 55.8% y 41.9% presentaron anticuerpos para los isotipos IgG, IgM e IgA respectivamente con respecto al antígeno de la </w:t>
      </w:r>
      <w:proofErr w:type="spellStart"/>
      <w:r w:rsidRPr="002974BE">
        <w:rPr>
          <w:rFonts w:cstheme="minorHAnsi"/>
          <w:color w:val="FF0000"/>
          <w:sz w:val="22"/>
          <w:szCs w:val="22"/>
        </w:rPr>
        <w:t>Nucleocapside</w:t>
      </w:r>
      <w:proofErr w:type="spellEnd"/>
      <w:r w:rsidRPr="002974BE">
        <w:rPr>
          <w:rFonts w:cstheme="minorHAnsi"/>
          <w:color w:val="FF0000"/>
          <w:sz w:val="22"/>
          <w:szCs w:val="22"/>
        </w:rPr>
        <w:t xml:space="preserve"> y 11.6%, 53.5% y 23.3% presentaron anticuerpos para los isotipos IgG, IgM e IgA respectivamente con respecto al antígeno MPRO.</w:t>
      </w:r>
    </w:p>
    <w:p w14:paraId="60177AEE" w14:textId="4406DBF5" w:rsidR="00731688" w:rsidRPr="002974BE" w:rsidRDefault="00731688" w:rsidP="001D7F2E">
      <w:pPr>
        <w:pStyle w:val="Textoindependiente"/>
        <w:spacing w:before="0" w:after="0" w:line="360" w:lineRule="auto"/>
        <w:jc w:val="both"/>
        <w:rPr>
          <w:rFonts w:cstheme="minorHAnsi"/>
          <w:sz w:val="22"/>
          <w:szCs w:val="22"/>
        </w:rPr>
      </w:pPr>
    </w:p>
    <w:p w14:paraId="7FD3E834" w14:textId="58709820" w:rsidR="00731688" w:rsidRPr="002974BE" w:rsidRDefault="00731688" w:rsidP="001D7F2E">
      <w:pPr>
        <w:pStyle w:val="Textoindependiente"/>
        <w:spacing w:before="0" w:after="0" w:line="360" w:lineRule="auto"/>
        <w:jc w:val="both"/>
        <w:rPr>
          <w:rFonts w:cstheme="minorHAnsi"/>
          <w:sz w:val="22"/>
          <w:szCs w:val="22"/>
        </w:rPr>
      </w:pPr>
    </w:p>
    <w:p w14:paraId="7F801ABB" w14:textId="77777777" w:rsidR="00731688" w:rsidRPr="002974BE" w:rsidRDefault="00731688" w:rsidP="001D7F2E">
      <w:pPr>
        <w:pStyle w:val="Textoindependiente"/>
        <w:spacing w:before="0" w:after="0" w:line="360" w:lineRule="auto"/>
        <w:jc w:val="both"/>
        <w:rPr>
          <w:rFonts w:cstheme="minorHAnsi"/>
          <w:sz w:val="22"/>
          <w:szCs w:val="22"/>
        </w:rPr>
      </w:pPr>
    </w:p>
    <w:p w14:paraId="708E8446" w14:textId="77777777" w:rsidR="00731688" w:rsidRPr="002974BE" w:rsidRDefault="00731688" w:rsidP="001D7F2E">
      <w:pPr>
        <w:pStyle w:val="Textoindependiente"/>
        <w:spacing w:before="0" w:after="0" w:line="360" w:lineRule="auto"/>
        <w:jc w:val="both"/>
        <w:rPr>
          <w:rFonts w:cstheme="minorHAnsi"/>
          <w:sz w:val="22"/>
          <w:szCs w:val="22"/>
        </w:rPr>
      </w:pPr>
    </w:p>
    <w:p w14:paraId="26755383" w14:textId="77777777" w:rsidR="00731688" w:rsidRPr="002974BE" w:rsidRDefault="00731688" w:rsidP="001D7F2E">
      <w:pPr>
        <w:pStyle w:val="Textoindependiente"/>
        <w:spacing w:before="0" w:after="0" w:line="360" w:lineRule="auto"/>
        <w:jc w:val="both"/>
        <w:rPr>
          <w:rFonts w:cstheme="minorHAnsi"/>
          <w:sz w:val="22"/>
          <w:szCs w:val="22"/>
        </w:rPr>
      </w:pPr>
    </w:p>
    <w:p w14:paraId="7E119995" w14:textId="3144AE0E" w:rsidR="00731688" w:rsidRPr="002974BE" w:rsidRDefault="00731688" w:rsidP="001D7F2E">
      <w:pPr>
        <w:pStyle w:val="Textoindependiente"/>
        <w:spacing w:before="0" w:after="0" w:line="360" w:lineRule="auto"/>
        <w:jc w:val="both"/>
        <w:rPr>
          <w:rFonts w:cstheme="minorHAnsi"/>
          <w:sz w:val="22"/>
          <w:szCs w:val="22"/>
        </w:rPr>
      </w:pPr>
    </w:p>
    <w:p w14:paraId="043DF6E6" w14:textId="32D62BD9" w:rsidR="00731688" w:rsidRPr="002974BE" w:rsidRDefault="00AD4DE5" w:rsidP="001D7F2E">
      <w:pPr>
        <w:pStyle w:val="Textoindependiente"/>
        <w:spacing w:before="0" w:after="0" w:line="360" w:lineRule="auto"/>
        <w:jc w:val="both"/>
        <w:rPr>
          <w:rFonts w:cstheme="minorHAnsi"/>
          <w:sz w:val="22"/>
          <w:szCs w:val="22"/>
        </w:rPr>
      </w:pPr>
      <w:r w:rsidRPr="002974BE">
        <w:rPr>
          <w:rFonts w:cstheme="minorHAnsi"/>
          <w:noProof/>
          <w:sz w:val="22"/>
          <w:szCs w:val="22"/>
          <w:lang w:val="en-US"/>
        </w:rPr>
        <mc:AlternateContent>
          <mc:Choice Requires="wpg">
            <w:drawing>
              <wp:anchor distT="0" distB="0" distL="114300" distR="114300" simplePos="0" relativeHeight="251660288" behindDoc="1" locked="0" layoutInCell="1" allowOverlap="1" wp14:anchorId="675C1E2D" wp14:editId="5D5CF8B9">
                <wp:simplePos x="0" y="0"/>
                <wp:positionH relativeFrom="margin">
                  <wp:align>center</wp:align>
                </wp:positionH>
                <wp:positionV relativeFrom="paragraph">
                  <wp:posOffset>27404</wp:posOffset>
                </wp:positionV>
                <wp:extent cx="5076825" cy="3952875"/>
                <wp:effectExtent l="19050" t="19050" r="28575" b="9525"/>
                <wp:wrapNone/>
                <wp:docPr id="6" name="6 Grupo"/>
                <wp:cNvGraphicFramePr/>
                <a:graphic xmlns:a="http://schemas.openxmlformats.org/drawingml/2006/main">
                  <a:graphicData uri="http://schemas.microsoft.com/office/word/2010/wordprocessingGroup">
                    <wpg:wgp>
                      <wpg:cNvGrpSpPr/>
                      <wpg:grpSpPr>
                        <a:xfrm>
                          <a:off x="0" y="0"/>
                          <a:ext cx="5076825" cy="3952875"/>
                          <a:chOff x="0" y="0"/>
                          <a:chExt cx="5076825" cy="3952875"/>
                        </a:xfrm>
                      </wpg:grpSpPr>
                      <wps:wsp>
                        <wps:cNvPr id="5" name="Cuadro de texto 2"/>
                        <wps:cNvSpPr txBox="1">
                          <a:spLocks noChangeArrowheads="1"/>
                        </wps:cNvSpPr>
                        <wps:spPr bwMode="auto">
                          <a:xfrm>
                            <a:off x="171450" y="3638550"/>
                            <a:ext cx="4848225" cy="314325"/>
                          </a:xfrm>
                          <a:prstGeom prst="rect">
                            <a:avLst/>
                          </a:prstGeom>
                          <a:solidFill>
                            <a:srgbClr val="FFFFFF"/>
                          </a:solidFill>
                          <a:ln w="9525">
                            <a:noFill/>
                            <a:miter lim="800000"/>
                            <a:headEnd/>
                            <a:tailEnd/>
                          </a:ln>
                        </wps:spPr>
                        <wps:txbx>
                          <w:txbxContent>
                            <w:p w14:paraId="7147FCCB" w14:textId="77777777" w:rsidR="00E31094" w:rsidRPr="000E0EC2" w:rsidRDefault="00E31094" w:rsidP="00731688">
                              <w:r w:rsidRPr="006115F6">
                                <w:rPr>
                                  <w:b/>
                                </w:rPr>
                                <w:t>Figura 1.</w:t>
                              </w:r>
                              <w:r w:rsidRPr="000E0EC2">
                                <w:t xml:space="preserve"> </w:t>
                              </w:r>
                              <w:r w:rsidRPr="000E0EC2">
                                <w:rPr>
                                  <w:rFonts w:ascii="Times New Roman" w:hAnsi="Times New Roman" w:cs="Times New Roman"/>
                                  <w:b/>
                                </w:rPr>
                                <w:t>Respuesta de anticuerpos contra 4 antígenos del virus SARS-Cov-2</w:t>
                              </w:r>
                            </w:p>
                          </w:txbxContent>
                        </wps:txbx>
                        <wps:bodyPr rot="0" vert="horz" wrap="square" lIns="91440" tIns="45720" rIns="91440" bIns="45720" anchor="t" anchorCtr="0">
                          <a:noAutofit/>
                        </wps:bodyPr>
                      </wps:wsp>
                      <pic:pic xmlns:pic="http://schemas.openxmlformats.org/drawingml/2006/picture">
                        <pic:nvPicPr>
                          <pic:cNvPr id="2" name="Imagen 2"/>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76825" cy="3619500"/>
                          </a:xfrm>
                          <a:prstGeom prst="rect">
                            <a:avLst/>
                          </a:prstGeom>
                          <a:noFill/>
                          <a:ln w="3175">
                            <a:solidFill>
                              <a:schemeClr val="tx1"/>
                            </a:solidFill>
                          </a:ln>
                        </pic:spPr>
                      </pic:pic>
                    </wpg:wgp>
                  </a:graphicData>
                </a:graphic>
              </wp:anchor>
            </w:drawing>
          </mc:Choice>
          <mc:Fallback>
            <w:pict>
              <v:group w14:anchorId="675C1E2D" id="6 Grupo" o:spid="_x0000_s1026" style="position:absolute;left:0;text-align:left;margin-left:0;margin-top:2.15pt;width:399.75pt;height:311.25pt;z-index:-251656192;mso-position-horizontal:center;mso-position-horizontal-relative:margin" coordsize="50768,39528"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">
                <v:shapetype id="_x0000_t202" coordsize="21600,21600" o:spt="202" path="m,l,21600r21600,l21600,xe">
                  <v:stroke joinstyle="miter"/>
                  <v:path gradientshapeok="t" o:connecttype="rect"/>
                </v:shapetype>
                <v:shape id="Cuadro de texto 2" o:spid="_x0000_s1027" type="#_x0000_t202" style="position:absolute;left:1714;top:36385;width:48482;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14:paraId="7147FCCB" w14:textId="77777777" w:rsidR="00E31094" w:rsidRPr="000E0EC2" w:rsidRDefault="00E31094" w:rsidP="00731688">
                        <w:r w:rsidRPr="006115F6">
                          <w:rPr>
                            <w:b/>
                          </w:rPr>
                          <w:t>Figura 1.</w:t>
                        </w:r>
                        <w:r w:rsidRPr="000E0EC2">
                          <w:t xml:space="preserve"> </w:t>
                        </w:r>
                        <w:r w:rsidRPr="000E0EC2">
                          <w:rPr>
                            <w:rFonts w:ascii="Times New Roman" w:hAnsi="Times New Roman" w:cs="Times New Roman"/>
                            <w:b/>
                          </w:rPr>
                          <w:t>Respuesta de anticuerpos contra 4 antígenos del virus SARS-Cov-2</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8" type="#_x0000_t75" style="position:absolute;width:50768;height:36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" stroked="t" strokecolor="black [3213]" strokeweight=".25pt">
                  <v:imagedata r:id="rId17" o:title=""/>
                  <v:path arrowok="t"/>
                </v:shape>
                <w10:wrap anchorx="margin"/>
              </v:group>
            </w:pict>
          </mc:Fallback>
        </mc:AlternateContent>
      </w:r>
    </w:p>
    <w:p w14:paraId="58357C24" w14:textId="77777777" w:rsidR="00731688" w:rsidRPr="002974BE" w:rsidRDefault="00731688" w:rsidP="001D7F2E">
      <w:pPr>
        <w:pStyle w:val="Textoindependiente"/>
        <w:spacing w:before="0" w:after="0" w:line="360" w:lineRule="auto"/>
        <w:jc w:val="both"/>
        <w:rPr>
          <w:rFonts w:cstheme="minorHAnsi"/>
          <w:sz w:val="22"/>
          <w:szCs w:val="22"/>
        </w:rPr>
      </w:pPr>
    </w:p>
    <w:p w14:paraId="16E85FD3" w14:textId="77777777" w:rsidR="00731688" w:rsidRPr="002974BE" w:rsidRDefault="00731688" w:rsidP="001D7F2E">
      <w:pPr>
        <w:pStyle w:val="Textoindependiente"/>
        <w:spacing w:before="0" w:after="0" w:line="360" w:lineRule="auto"/>
        <w:jc w:val="both"/>
        <w:rPr>
          <w:rFonts w:cstheme="minorHAnsi"/>
          <w:sz w:val="22"/>
          <w:szCs w:val="22"/>
        </w:rPr>
      </w:pPr>
    </w:p>
    <w:p w14:paraId="6BB0E6F5" w14:textId="77777777" w:rsidR="00731688" w:rsidRPr="002974BE" w:rsidRDefault="00731688" w:rsidP="001D7F2E">
      <w:pPr>
        <w:pStyle w:val="Textoindependiente"/>
        <w:spacing w:before="0" w:after="0" w:line="360" w:lineRule="auto"/>
        <w:jc w:val="both"/>
        <w:rPr>
          <w:rFonts w:cstheme="minorHAnsi"/>
          <w:sz w:val="22"/>
          <w:szCs w:val="22"/>
        </w:rPr>
      </w:pPr>
    </w:p>
    <w:p w14:paraId="7C9945E1" w14:textId="77777777" w:rsidR="00731688" w:rsidRPr="002974BE" w:rsidRDefault="00731688" w:rsidP="001D7F2E">
      <w:pPr>
        <w:pStyle w:val="Textoindependiente"/>
        <w:spacing w:before="0" w:after="0" w:line="360" w:lineRule="auto"/>
        <w:jc w:val="both"/>
        <w:rPr>
          <w:rFonts w:cstheme="minorHAnsi"/>
          <w:sz w:val="22"/>
          <w:szCs w:val="22"/>
        </w:rPr>
      </w:pPr>
    </w:p>
    <w:p w14:paraId="1F1AB2C4" w14:textId="77777777" w:rsidR="00731688" w:rsidRPr="002974BE" w:rsidRDefault="00731688" w:rsidP="001D7F2E">
      <w:pPr>
        <w:pStyle w:val="Textoindependiente"/>
        <w:spacing w:before="0" w:after="0" w:line="360" w:lineRule="auto"/>
        <w:jc w:val="both"/>
        <w:rPr>
          <w:rFonts w:cstheme="minorHAnsi"/>
          <w:sz w:val="22"/>
          <w:szCs w:val="22"/>
        </w:rPr>
      </w:pPr>
    </w:p>
    <w:p w14:paraId="5E48BD94" w14:textId="77777777" w:rsidR="00731688" w:rsidRPr="002974BE" w:rsidRDefault="00731688" w:rsidP="001D7F2E">
      <w:pPr>
        <w:pStyle w:val="Textoindependiente"/>
        <w:spacing w:before="0" w:after="0" w:line="360" w:lineRule="auto"/>
        <w:jc w:val="both"/>
        <w:rPr>
          <w:rFonts w:cstheme="minorHAnsi"/>
          <w:sz w:val="22"/>
          <w:szCs w:val="22"/>
        </w:rPr>
      </w:pPr>
    </w:p>
    <w:p w14:paraId="279DAF55" w14:textId="5B3416E2" w:rsidR="00731688" w:rsidRPr="002974BE" w:rsidRDefault="00731688" w:rsidP="001D7F2E">
      <w:pPr>
        <w:pStyle w:val="Textoindependiente"/>
        <w:spacing w:before="0" w:after="0" w:line="360" w:lineRule="auto"/>
        <w:jc w:val="both"/>
        <w:rPr>
          <w:rFonts w:cstheme="minorHAnsi"/>
          <w:sz w:val="22"/>
          <w:szCs w:val="22"/>
        </w:rPr>
      </w:pPr>
    </w:p>
    <w:p w14:paraId="785ED39C" w14:textId="68E8FD02" w:rsidR="00AD4DE5" w:rsidRPr="002974BE" w:rsidRDefault="00AD4DE5" w:rsidP="001D7F2E">
      <w:pPr>
        <w:pStyle w:val="Textoindependiente"/>
        <w:spacing w:before="0" w:after="0" w:line="360" w:lineRule="auto"/>
        <w:jc w:val="both"/>
        <w:rPr>
          <w:rFonts w:cstheme="minorHAnsi"/>
          <w:sz w:val="22"/>
          <w:szCs w:val="22"/>
        </w:rPr>
      </w:pPr>
    </w:p>
    <w:p w14:paraId="4D3F20F3" w14:textId="09DFE159" w:rsidR="00AD4DE5" w:rsidRPr="002974BE" w:rsidRDefault="00AD4DE5" w:rsidP="001D7F2E">
      <w:pPr>
        <w:pStyle w:val="Textoindependiente"/>
        <w:spacing w:before="0" w:after="0" w:line="360" w:lineRule="auto"/>
        <w:jc w:val="both"/>
        <w:rPr>
          <w:rFonts w:cstheme="minorHAnsi"/>
          <w:sz w:val="22"/>
          <w:szCs w:val="22"/>
        </w:rPr>
      </w:pPr>
    </w:p>
    <w:p w14:paraId="6CD4C95A" w14:textId="77777777" w:rsidR="00AD4DE5" w:rsidRPr="002974BE" w:rsidRDefault="00AD4DE5" w:rsidP="001D7F2E">
      <w:pPr>
        <w:pStyle w:val="Textoindependiente"/>
        <w:spacing w:before="0" w:after="0" w:line="360" w:lineRule="auto"/>
        <w:jc w:val="both"/>
        <w:rPr>
          <w:rFonts w:cstheme="minorHAnsi"/>
          <w:sz w:val="22"/>
          <w:szCs w:val="22"/>
        </w:rPr>
      </w:pPr>
    </w:p>
    <w:p w14:paraId="2594F76E" w14:textId="7563CDEE" w:rsidR="00D141BB" w:rsidRPr="002974BE" w:rsidRDefault="00D141BB" w:rsidP="001D7F2E">
      <w:pPr>
        <w:pStyle w:val="Textoindependiente"/>
        <w:spacing w:before="0" w:after="0" w:line="360" w:lineRule="auto"/>
        <w:jc w:val="both"/>
        <w:rPr>
          <w:rFonts w:cstheme="minorHAnsi"/>
          <w:sz w:val="22"/>
          <w:szCs w:val="22"/>
        </w:rPr>
      </w:pPr>
    </w:p>
    <w:p w14:paraId="10E00E50" w14:textId="7E91C76F" w:rsidR="00AD4DE5" w:rsidRPr="002974BE" w:rsidRDefault="00AD4DE5" w:rsidP="001D7F2E">
      <w:pPr>
        <w:pStyle w:val="Textoindependiente"/>
        <w:spacing w:before="0" w:after="0" w:line="360" w:lineRule="auto"/>
        <w:jc w:val="both"/>
        <w:rPr>
          <w:rFonts w:cstheme="minorHAnsi"/>
          <w:sz w:val="22"/>
          <w:szCs w:val="22"/>
        </w:rPr>
      </w:pPr>
    </w:p>
    <w:p w14:paraId="399CEC41" w14:textId="54204810" w:rsidR="00AD4DE5" w:rsidRPr="002974BE" w:rsidRDefault="00AD4DE5" w:rsidP="001D7F2E">
      <w:pPr>
        <w:pStyle w:val="Textoindependiente"/>
        <w:spacing w:before="0" w:after="0" w:line="360" w:lineRule="auto"/>
        <w:jc w:val="both"/>
        <w:rPr>
          <w:rFonts w:cstheme="minorHAnsi"/>
          <w:sz w:val="22"/>
          <w:szCs w:val="22"/>
        </w:rPr>
      </w:pPr>
    </w:p>
    <w:p w14:paraId="75796E78" w14:textId="77777777" w:rsidR="00AD4DE5" w:rsidRPr="002974BE" w:rsidRDefault="00AD4DE5" w:rsidP="001D7F2E">
      <w:pPr>
        <w:pStyle w:val="Textoindependiente"/>
        <w:spacing w:before="0" w:after="0" w:line="360" w:lineRule="auto"/>
        <w:jc w:val="both"/>
        <w:rPr>
          <w:rFonts w:cstheme="minorHAnsi"/>
          <w:sz w:val="22"/>
          <w:szCs w:val="22"/>
        </w:rPr>
      </w:pPr>
    </w:p>
    <w:p w14:paraId="5E06D17D" w14:textId="2908E6DD" w:rsidR="00AD4DE5" w:rsidRDefault="00AD4DE5" w:rsidP="001D7F2E">
      <w:pPr>
        <w:pStyle w:val="Textoindependiente"/>
        <w:spacing w:before="0" w:after="0" w:line="360" w:lineRule="auto"/>
        <w:jc w:val="both"/>
        <w:rPr>
          <w:rFonts w:cstheme="minorHAnsi"/>
          <w:sz w:val="22"/>
          <w:szCs w:val="22"/>
        </w:rPr>
      </w:pPr>
    </w:p>
    <w:p w14:paraId="558D81C7" w14:textId="3962E07E" w:rsidR="007C168E" w:rsidRDefault="007C168E" w:rsidP="001D7F2E">
      <w:pPr>
        <w:pStyle w:val="Textoindependiente"/>
        <w:spacing w:before="0" w:after="0" w:line="360" w:lineRule="auto"/>
        <w:jc w:val="both"/>
        <w:rPr>
          <w:rFonts w:cstheme="minorHAnsi"/>
          <w:sz w:val="22"/>
          <w:szCs w:val="22"/>
        </w:rPr>
      </w:pPr>
    </w:p>
    <w:p w14:paraId="214B0E47" w14:textId="77777777" w:rsidR="007C168E" w:rsidRPr="002974BE" w:rsidRDefault="007C168E" w:rsidP="001D7F2E">
      <w:pPr>
        <w:pStyle w:val="Textoindependiente"/>
        <w:spacing w:before="0" w:after="0" w:line="360" w:lineRule="auto"/>
        <w:jc w:val="both"/>
        <w:rPr>
          <w:rFonts w:cstheme="minorHAnsi"/>
          <w:sz w:val="22"/>
          <w:szCs w:val="22"/>
        </w:rPr>
      </w:pPr>
      <w:commentRangeStart w:id="5"/>
      <w:commentRangeEnd w:id="5"/>
      <w:r>
        <w:rPr>
          <w:rStyle w:val="Refdecomentario"/>
        </w:rPr>
        <w:commentReference w:id="5"/>
      </w:r>
    </w:p>
    <w:p w14:paraId="722C0DB6" w14:textId="77777777" w:rsidR="00AD4DE5" w:rsidRPr="002974BE" w:rsidRDefault="00AD4DE5" w:rsidP="001D7F2E">
      <w:pPr>
        <w:pStyle w:val="Textoindependiente"/>
        <w:spacing w:before="0" w:after="0" w:line="360" w:lineRule="auto"/>
        <w:jc w:val="both"/>
        <w:rPr>
          <w:rFonts w:cstheme="minorHAnsi"/>
          <w:sz w:val="22"/>
          <w:szCs w:val="22"/>
        </w:rPr>
      </w:pPr>
    </w:p>
    <w:p w14:paraId="5EE50FC0" w14:textId="20CA5A7E" w:rsidR="007B15E0" w:rsidRPr="002974BE" w:rsidRDefault="007B15E0" w:rsidP="001D7F2E">
      <w:pPr>
        <w:pStyle w:val="Textoindependiente"/>
        <w:spacing w:before="0" w:after="0" w:line="360" w:lineRule="auto"/>
        <w:jc w:val="both"/>
        <w:rPr>
          <w:rFonts w:cstheme="minorHAnsi"/>
          <w:b/>
          <w:sz w:val="22"/>
          <w:szCs w:val="22"/>
        </w:rPr>
      </w:pPr>
      <w:r w:rsidRPr="002974BE">
        <w:rPr>
          <w:rFonts w:cstheme="minorHAnsi"/>
          <w:b/>
          <w:sz w:val="22"/>
          <w:szCs w:val="22"/>
        </w:rPr>
        <w:t>DISCUSI</w:t>
      </w:r>
      <w:r w:rsidR="00F23B2E" w:rsidRPr="002974BE">
        <w:rPr>
          <w:rFonts w:cstheme="minorHAnsi"/>
          <w:b/>
          <w:sz w:val="22"/>
          <w:szCs w:val="22"/>
        </w:rPr>
        <w:t>Ó</w:t>
      </w:r>
      <w:r w:rsidRPr="002974BE">
        <w:rPr>
          <w:rFonts w:cstheme="minorHAnsi"/>
          <w:b/>
          <w:sz w:val="22"/>
          <w:szCs w:val="22"/>
        </w:rPr>
        <w:t>N</w:t>
      </w:r>
    </w:p>
    <w:p w14:paraId="2B0079D7" w14:textId="4C4EF124" w:rsidR="00F23B2E" w:rsidRPr="002974BE" w:rsidRDefault="00F23B2E" w:rsidP="001D7F2E">
      <w:pPr>
        <w:pStyle w:val="Textoindependiente"/>
        <w:spacing w:before="0" w:after="0" w:line="360" w:lineRule="auto"/>
        <w:jc w:val="both"/>
        <w:rPr>
          <w:rFonts w:cstheme="minorHAnsi"/>
          <w:b/>
          <w:sz w:val="22"/>
          <w:szCs w:val="22"/>
        </w:rPr>
      </w:pPr>
    </w:p>
    <w:p w14:paraId="31E5FE3F" w14:textId="6E6C09E6" w:rsidR="00FF1167" w:rsidRPr="00E450AA" w:rsidRDefault="00F23B2E" w:rsidP="001D7F2E">
      <w:pPr>
        <w:jc w:val="both"/>
        <w:rPr>
          <w:rFonts w:cstheme="minorHAnsi"/>
          <w:i/>
          <w:color w:val="FF0000"/>
        </w:rPr>
      </w:pPr>
      <w:r w:rsidRPr="002974BE">
        <w:rPr>
          <w:rFonts w:cstheme="minorHAnsi"/>
        </w:rPr>
        <w:t>Al comenzar la vacunación contra la COVID-19</w:t>
      </w:r>
      <w:r w:rsidR="001C2BBF">
        <w:rPr>
          <w:rFonts w:cstheme="minorHAnsi"/>
        </w:rPr>
        <w:t>,</w:t>
      </w:r>
      <w:r w:rsidRPr="002974BE">
        <w:rPr>
          <w:rFonts w:cstheme="minorHAnsi"/>
        </w:rPr>
        <w:t xml:space="preserve"> la mayor expectativa fue el conocer la respuesta de los anticuerpos frente a los antígenos del SARS-Cov-2. El objetivo del presente estudio fue detectar los isotipos (IgG, IgM, IgA) de las proteínas virales </w:t>
      </w:r>
      <w:r w:rsidR="00687025">
        <w:rPr>
          <w:rFonts w:cstheme="minorHAnsi"/>
        </w:rPr>
        <w:t xml:space="preserve">RBD, </w:t>
      </w:r>
      <w:proofErr w:type="spellStart"/>
      <w:r w:rsidR="00687025">
        <w:rPr>
          <w:rFonts w:cstheme="minorHAnsi"/>
        </w:rPr>
        <w:t>Spike</w:t>
      </w:r>
      <w:proofErr w:type="spellEnd"/>
      <w:r w:rsidR="00687025">
        <w:rPr>
          <w:rFonts w:cstheme="minorHAnsi"/>
        </w:rPr>
        <w:t xml:space="preserve">, Nucleocápside y </w:t>
      </w:r>
      <w:proofErr w:type="spellStart"/>
      <w:r w:rsidR="00687025">
        <w:rPr>
          <w:rFonts w:cstheme="minorHAnsi"/>
        </w:rPr>
        <w:t>Mpro</w:t>
      </w:r>
      <w:proofErr w:type="spellEnd"/>
      <w:r w:rsidRPr="002974BE">
        <w:rPr>
          <w:rFonts w:cstheme="minorHAnsi"/>
        </w:rPr>
        <w:t xml:space="preserve">, mediante </w:t>
      </w:r>
      <w:r w:rsidR="00265B5A" w:rsidRPr="002974BE">
        <w:rPr>
          <w:rFonts w:cstheme="minorHAnsi"/>
        </w:rPr>
        <w:t>el ensayo de alto rendimiento basado en</w:t>
      </w:r>
      <w:r w:rsidRPr="002974BE">
        <w:rPr>
          <w:rFonts w:cstheme="minorHAnsi"/>
        </w:rPr>
        <w:t xml:space="preserve"> la citometría de flujo. Los resultados demostraron un porcentaje mayor de la IgG sobre todo en las proteínas RBD y </w:t>
      </w:r>
      <w:proofErr w:type="spellStart"/>
      <w:r w:rsidRPr="002974BE">
        <w:rPr>
          <w:rFonts w:cstheme="minorHAnsi"/>
        </w:rPr>
        <w:t>Spike</w:t>
      </w:r>
      <w:proofErr w:type="spellEnd"/>
      <w:r w:rsidRPr="002974BE">
        <w:rPr>
          <w:rFonts w:cstheme="minorHAnsi"/>
        </w:rPr>
        <w:t>, tanto en los vacunados con antecedente de infección y sin esta</w:t>
      </w:r>
      <w:r w:rsidR="00265B5A" w:rsidRPr="002974BE">
        <w:rPr>
          <w:rFonts w:cstheme="minorHAnsi"/>
        </w:rPr>
        <w:t xml:space="preserve">, reforzando lo que mencionan </w:t>
      </w:r>
      <w:proofErr w:type="spellStart"/>
      <w:r w:rsidR="00265B5A" w:rsidRPr="002974BE">
        <w:rPr>
          <w:rFonts w:cstheme="minorHAnsi"/>
        </w:rPr>
        <w:t>esudios</w:t>
      </w:r>
      <w:proofErr w:type="spellEnd"/>
      <w:r w:rsidR="00265B5A" w:rsidRPr="002974BE">
        <w:rPr>
          <w:rFonts w:cstheme="minorHAnsi"/>
        </w:rPr>
        <w:t xml:space="preserve"> </w:t>
      </w:r>
      <w:proofErr w:type="spellStart"/>
      <w:r w:rsidR="00265B5A" w:rsidRPr="002974BE">
        <w:rPr>
          <w:rFonts w:cstheme="minorHAnsi"/>
        </w:rPr>
        <w:t>enteriores</w:t>
      </w:r>
      <w:proofErr w:type="spellEnd"/>
      <w:r w:rsidR="00265B5A" w:rsidRPr="002974BE">
        <w:rPr>
          <w:rFonts w:cstheme="minorHAnsi"/>
        </w:rPr>
        <w:t xml:space="preserve"> donde los anticuerpos anti</w:t>
      </w:r>
      <w:r w:rsidR="00265B5A" w:rsidRPr="002974BE">
        <w:rPr>
          <w:rFonts w:cstheme="minorHAnsi"/>
        </w:rPr>
        <w:softHyphen/>
        <w:t>-RBD producen en m</w:t>
      </w:r>
      <w:r w:rsidR="001C2BBF">
        <w:rPr>
          <w:rFonts w:cstheme="minorHAnsi"/>
        </w:rPr>
        <w:t>á</w:t>
      </w:r>
      <w:r w:rsidR="00265B5A" w:rsidRPr="002974BE">
        <w:rPr>
          <w:rFonts w:cstheme="minorHAnsi"/>
        </w:rPr>
        <w:t xml:space="preserve">s del 95% en pacientes que se infectaron del SAR-CoV-2 </w:t>
      </w:r>
      <w:r w:rsidR="00265B5A" w:rsidRPr="002974BE">
        <w:rPr>
          <w:rFonts w:cstheme="minorHAnsi"/>
        </w:rPr>
        <w:fldChar w:fldCharType="begin"/>
      </w:r>
      <w:r w:rsidR="00265B5A" w:rsidRPr="002974BE">
        <w:rPr>
          <w:rFonts w:cstheme="minorHAnsi"/>
        </w:rPr>
        <w:instrText xml:space="preserve"> ADDIN ZOTERO_ITEM CSL_CITATION {"citationID":"3C7iezlN","properties":{"formattedCitation":"(17)","plainCitation":"(17)","noteIndex":0},"citationItems":[{"id":1152,"uris":["http://zotero.org/users/6047638/items/IMPN7557"],"itemData":{"id":1152,"type":"article-journal","abstract":"Background\nMore than 3 y into the coronavirus 2019 (COVID-19) pandemic, severe acute respiratory syndrome coronavirus 2 (SARS-CoV-2) continues to undergo mutations. In this context, the Receptor Binding Domain (RBD) is the most antigenic region among the SARS-CoV-2 Spike protein and has emerged as a promising candidate for immunological development. We designed an IgG-based indirect enzyme-linked immunoassay (ELISA) kit based on recombinant RBD, which was produced from the laboratory to 10 L industry scales in Pichia pastoris.\nMethods\nA recombinant-RBD comprising 283 residues (31 kDa) was constructed after epitope analyses. The target gene was initially cloned into an Escherichia coli TOP10 genotype and transformed into Pichia pastoris CBS7435 muts for protein production. Production was scaled up in a 10 L fermenter after a 1 L shake-flask cultivation. The product was ultrafiltered and purified using ion-exchange chromatography. IgG-positive human sera for SARS-CoV-2 were employed by an ELISA test to evaluate the antigenicity and specific binding of the produced protein.\nResults\nBioreactor cultivation yielded 4 g/l of the target protein after 160 h of fermentation, and ion-exchange chromatography indicated a purity &gt; 95%. A human serum ELISA test was performed in 4 parts, and the ROC area under the curve (AUC) was &gt; 0.96 for each part. The mean specificity and sensitivity of each part was 100% and 91.5%, respectively.\nConclusion\nA highly specific and sensitive IgG-based serologic kit was developed for improved diagnostic purposes in patients with COVID-19 after generating an RBD antigen in Pichia pastoris at laboratory and 10 L fermentation scales.","container-title":"Clinica Chimica Acta","DOI":"10.1016/j.cca.2023.117279","ISSN":"0009-8981","journalAbbreviation":"Clinica Chimica Acta","language":"en","page":"117279","source":"ScienceDirect","title":"Designing and developing a sensitive and specific SARS-CoV-2 RBD IgG detection kit for identifying positive human samples","URL":"https://www.sciencedirect.com/science/article/pii/S0009898123000815","volume":"542","author":[{"family":"Raoufi","given":"Ehsan"},{"family":"Hosseini","given":"Fatemeh"},{"family":"Onagh","given":"Bahman"},{"family":"Salehi-Shadkami","given":"Mohammad"},{"family":"Mehrali","given":"Marjan"},{"family":"Mohsenzadegan","given":"Monireh"},{"family":"Ho","given":"Jim Q."},{"family":"Bigdelou","given":"Banafsheh"},{"family":"Sepand","given":"Mohammad Reza"},{"family":"Webster","given":"Thomas J."},{"family":"Zanganeh","given":"Steven"},{"family":"Farajollahi","given":"Mohammad M."}],"accessed":{"date-parts":[["2023",4,24]]},"issued":{"date-parts":[["2023",3,1]]}}}],"schema":"https://github.com/citation-style-language/schema/raw/master/csl-citation.json"} </w:instrText>
      </w:r>
      <w:r w:rsidR="00265B5A" w:rsidRPr="002974BE">
        <w:rPr>
          <w:rFonts w:cstheme="minorHAnsi"/>
        </w:rPr>
        <w:fldChar w:fldCharType="separate"/>
      </w:r>
      <w:r w:rsidR="00265B5A" w:rsidRPr="002974BE">
        <w:rPr>
          <w:rFonts w:cstheme="minorHAnsi"/>
        </w:rPr>
        <w:t>(17)</w:t>
      </w:r>
      <w:r w:rsidR="00265B5A" w:rsidRPr="002974BE">
        <w:rPr>
          <w:rFonts w:cstheme="minorHAnsi"/>
        </w:rPr>
        <w:fldChar w:fldCharType="end"/>
      </w:r>
      <w:r w:rsidRPr="002974BE">
        <w:rPr>
          <w:rFonts w:cstheme="minorHAnsi"/>
        </w:rPr>
        <w:t xml:space="preserve">. Por otro lado, se pudo evidenciar una diferencia en los tres isotipos (IgG, IgM, IgA) de las proteínas de la Nucleocápside y en el MPRO, presentando un mayor porcentaje en </w:t>
      </w:r>
      <w:proofErr w:type="gramStart"/>
      <w:r w:rsidRPr="002974BE">
        <w:rPr>
          <w:rFonts w:cstheme="minorHAnsi"/>
        </w:rPr>
        <w:t xml:space="preserve">las </w:t>
      </w:r>
      <w:r w:rsidR="005F269C">
        <w:rPr>
          <w:rFonts w:cstheme="minorHAnsi"/>
        </w:rPr>
        <w:t xml:space="preserve"> personas</w:t>
      </w:r>
      <w:proofErr w:type="gramEnd"/>
      <w:r w:rsidR="005F269C">
        <w:rPr>
          <w:rFonts w:cstheme="minorHAnsi"/>
        </w:rPr>
        <w:t xml:space="preserve"> </w:t>
      </w:r>
      <w:r w:rsidRPr="002974BE">
        <w:rPr>
          <w:rFonts w:cstheme="minorHAnsi"/>
        </w:rPr>
        <w:t xml:space="preserve">con </w:t>
      </w:r>
      <w:r w:rsidRPr="002974BE">
        <w:rPr>
          <w:rFonts w:cstheme="minorHAnsi"/>
        </w:rPr>
        <w:lastRenderedPageBreak/>
        <w:t>antecedente de infección</w:t>
      </w:r>
      <w:r w:rsidR="005F269C">
        <w:rPr>
          <w:rFonts w:cstheme="minorHAnsi"/>
        </w:rPr>
        <w:t xml:space="preserve"> por SARS-CoV-2</w:t>
      </w:r>
      <w:r w:rsidRPr="002974BE">
        <w:rPr>
          <w:rFonts w:cstheme="minorHAnsi"/>
        </w:rPr>
        <w:t xml:space="preserve">. </w:t>
      </w:r>
      <w:r w:rsidR="00FF1167">
        <w:rPr>
          <w:rFonts w:cstheme="minorHAnsi"/>
          <w:color w:val="FF0000"/>
        </w:rPr>
        <w:t xml:space="preserve">Esta </w:t>
      </w:r>
      <w:proofErr w:type="spellStart"/>
      <w:r w:rsidR="00FF1167">
        <w:rPr>
          <w:rFonts w:cstheme="minorHAnsi"/>
          <w:color w:val="FF0000"/>
        </w:rPr>
        <w:t>correlacion</w:t>
      </w:r>
      <w:proofErr w:type="spellEnd"/>
      <w:r w:rsidR="00FF1167">
        <w:rPr>
          <w:rFonts w:cstheme="minorHAnsi"/>
          <w:color w:val="FF0000"/>
        </w:rPr>
        <w:t xml:space="preserve"> entre los anticuerpos dirigidos contra los </w:t>
      </w:r>
      <w:proofErr w:type="spellStart"/>
      <w:r w:rsidR="00FF1167">
        <w:rPr>
          <w:rFonts w:cstheme="minorHAnsi"/>
          <w:color w:val="FF0000"/>
        </w:rPr>
        <w:t>antigeneos</w:t>
      </w:r>
      <w:proofErr w:type="spellEnd"/>
      <w:r w:rsidR="00FF1167">
        <w:rPr>
          <w:rFonts w:cstheme="minorHAnsi"/>
          <w:color w:val="FF0000"/>
        </w:rPr>
        <w:t xml:space="preserve"> de la </w:t>
      </w:r>
      <w:proofErr w:type="spellStart"/>
      <w:r w:rsidR="00FF1167">
        <w:rPr>
          <w:rFonts w:cstheme="minorHAnsi"/>
          <w:color w:val="FF0000"/>
        </w:rPr>
        <w:t>Nucleocapside</w:t>
      </w:r>
      <w:proofErr w:type="spellEnd"/>
      <w:r w:rsidR="00FF1167">
        <w:rPr>
          <w:rFonts w:cstheme="minorHAnsi"/>
          <w:color w:val="FF0000"/>
        </w:rPr>
        <w:t xml:space="preserve"> y el MPRO </w:t>
      </w:r>
      <w:r w:rsidR="00687025">
        <w:rPr>
          <w:rFonts w:cstheme="minorHAnsi"/>
          <w:color w:val="FF0000"/>
        </w:rPr>
        <w:t>en</w:t>
      </w:r>
      <w:r w:rsidR="00FF1167">
        <w:rPr>
          <w:rFonts w:cstheme="minorHAnsi"/>
          <w:color w:val="FF0000"/>
        </w:rPr>
        <w:t xml:space="preserve"> aquellos indiv</w:t>
      </w:r>
      <w:r w:rsidR="00687025">
        <w:rPr>
          <w:rFonts w:cstheme="minorHAnsi"/>
          <w:color w:val="FF0000"/>
        </w:rPr>
        <w:t>iduos infectados naturalmente también fue descrito en el estudio realizado en España</w:t>
      </w:r>
      <w:r w:rsidR="004D01B9">
        <w:rPr>
          <w:rFonts w:cstheme="minorHAnsi"/>
          <w:color w:val="FF0000"/>
        </w:rPr>
        <w:t xml:space="preserve"> </w:t>
      </w:r>
      <w:r w:rsidR="004D01B9">
        <w:rPr>
          <w:rFonts w:cstheme="minorHAnsi"/>
          <w:color w:val="FF0000"/>
        </w:rPr>
        <w:fldChar w:fldCharType="begin"/>
      </w:r>
      <w:r w:rsidR="004D01B9">
        <w:rPr>
          <w:rFonts w:cstheme="minorHAnsi"/>
          <w:color w:val="FF0000"/>
        </w:rPr>
        <w:instrText xml:space="preserve"> ADDIN ZOTERO_ITEM CSL_CITATION {"citationID":"waZrdIhJ","properties":{"formattedCitation":"(16)","plainCitation":"(16)","noteIndex":0},"citationItems":[{"id":1128,"uris":["http://zotero.org/users/6047638/items/GA89XJBL"],"itemData":{"id":1128,"type":"article-journal","abstract":"Here, we describe a new, simple, highly multiplexed serological test that generates a more complete picture of seroconversion than single antigen‐based assays. Flow cytometry is used to detect multiple Ig isotypes binding to four SARS‐CoV‐2 antigens: the Spike glycoprotein, its RBD fragment (the main target for neutralizing antibodies), the nucleocapsid protein, and the main cysteine‐like protease in a single reaction. Until now, most diagnostic serological tests measured antibodies to only one antigen and in some laboratory‐confirmed patients no SARS‐CoV‐2‐specific antibodies could be detected. Our data reveal that while most patients respond against all the viral antigens tested, others show a marked bias to make antibodies against either proteins exposed on the viral particle or those released after cellular infection. With this assay, it was possible to discriminate between patients and healthy controls with 100% confidence. Analysing the response of multiple Ig isotypes to the four antigens in combination may also help to establish a correlation with the severity degree of disease. A more detailed description of the immune responses of different patients to SARS‐CoV‐2 virus might provide insight into the wide array of clinical presentations of COVID‐19., Magnetic fluorescent beads coated with different SARS‐CoV‐2 antigens can be mixed to test simultaneously for antibodies present in patient plasma in highly multiplexed flow cytometry‐based assays. This sensitive method allows identification, in a single reaction, of several Ig‐isotypes and specificities, revealing differential responses between COVID‐19 patients.","container-title":"European Journal of Immunology","DOI":"10.1002/eji.202149319","ISSN":"0014-2980","issue":"11","journalAbbreviation":"Eur J Immunol","note":"PMID: 34358329\nPMCID: PMC8420214","page":"2633-2640","source":"PubMed Central","title":"Single‐reaction multi‐antigen serological test for comprehensive evaluation of SARS‐CoV‐2 patients by flow cytometry","URL":"https://www.ncbi.nlm.nih.gov/pmc/articles/PMC8420214/","volume":"51","author":[{"family":"Cáceres‐Martell","given":"Yaiza"},{"family":"Fernández‐Soto","given":"Daniel"},{"family":"Campos‐Silva","given":"Carmen"},{"family":"García‐Cuesta","given":"Eva M."},{"family":"Casasnovas","given":"Jose M"},{"family":"Navas‐Herrera","given":"David"},{"family":"Beneítez‐Martínez","given":"Alexandra"},{"family":"Martínez‐Fleta","given":"Pedro"},{"family":"Alfranca","given":"Arantzazu"},{"family":"Sánchez‐Madrid","given":"Francisco"},{"family":"Escudero‐López","given":"Gabriela"},{"family":"Vilches","given":"Carlos"},{"family":"Jara‐Acevedo","given":"Ricardo"},{"family":"Reyburn","given":"Hugh T."},{"family":"Rodríguez‐Frade","given":"José M."},{"family":"Valés‐Gómez","given":"Mar"}],"accessed":{"date-parts":[["2023",4,1]]},"issued":{"date-parts":[["2021",11]]}}}],"schema":"https://github.com/citation-style-language/schema/raw/master/csl-citation.json"} </w:instrText>
      </w:r>
      <w:r w:rsidR="004D01B9">
        <w:rPr>
          <w:rFonts w:cstheme="minorHAnsi"/>
          <w:color w:val="FF0000"/>
        </w:rPr>
        <w:fldChar w:fldCharType="separate"/>
      </w:r>
      <w:r w:rsidR="004D01B9" w:rsidRPr="004D01B9">
        <w:rPr>
          <w:rFonts w:ascii="Calibri" w:hAnsi="Calibri" w:cs="Calibri"/>
        </w:rPr>
        <w:t>(16)</w:t>
      </w:r>
      <w:r w:rsidR="004D01B9">
        <w:rPr>
          <w:rFonts w:cstheme="minorHAnsi"/>
          <w:color w:val="FF0000"/>
        </w:rPr>
        <w:fldChar w:fldCharType="end"/>
      </w:r>
      <w:r w:rsidR="00687025">
        <w:rPr>
          <w:rFonts w:cstheme="minorHAnsi"/>
          <w:color w:val="FF0000"/>
        </w:rPr>
        <w:t xml:space="preserve"> </w:t>
      </w:r>
      <w:r w:rsidR="00E450AA" w:rsidRPr="00E450AA">
        <w:rPr>
          <w:rFonts w:ascii="Helvetica" w:hAnsi="Helvetica"/>
          <w:i/>
          <w:color w:val="FF0000"/>
          <w:shd w:val="clear" w:color="auto" w:fill="FFFFFF"/>
        </w:rPr>
        <w:t xml:space="preserve">Esto se explicaría por que al ser antígeno internos la generación de anticuerpos se generaría al liberarse el material viral de la célula infectada </w:t>
      </w:r>
      <w:r w:rsidR="004D01B9">
        <w:rPr>
          <w:rFonts w:ascii="Helvetica" w:hAnsi="Helvetica"/>
          <w:i/>
          <w:color w:val="FF0000"/>
          <w:shd w:val="clear" w:color="auto" w:fill="FFFFFF"/>
        </w:rPr>
        <w:fldChar w:fldCharType="begin"/>
      </w:r>
      <w:r w:rsidR="004D01B9">
        <w:rPr>
          <w:rFonts w:ascii="Helvetica" w:hAnsi="Helvetica"/>
          <w:i/>
          <w:color w:val="FF0000"/>
          <w:shd w:val="clear" w:color="auto" w:fill="FFFFFF"/>
        </w:rPr>
        <w:instrText xml:space="preserve"> ADDIN ZOTERO_ITEM CSL_CITATION {"citationID":"Vye7hjkU","properties":{"formattedCitation":"(18)","plainCitation":"(18)","noteIndex":0},"citationItems":[{"id":1197,"uris":["http://zotero.org/users/6047638/items/F7KBBVG7"],"itemData":{"id":1197,"type":"article-journal","abstract":"Currently, there is a need for reliable tests that allow identification of individuals that have been infected with SARS-CoV-2 even if the infection was asymptomatic. To date, the vast majority of the serological tests for SARS-CoV-2–specific Abs are based on serum detection of Abs to either the viral spike glycoprotein (the major target for neutralizing Abs) or the viral nucleocapsid protein that is known to be highly immunogenic in other coronaviruses. Conceivably, exposure of Ags released from infected cells could stimulate Ab responses that might correlate with tissue damage and, hence, they may have some value as a prognostic indicator. We addressed whether other nonstructural viral proteins, not incorporated into the infectious viral particle, specifically the viral cysteine-like protease, might also be potent immunogens. Using ELISA tests, coating several SARS-CoV-2 proteins produced in vitro, we describe that COVID-19 patients make high titer IgG, IgM, and IgA Ab responses to the Cys-like protease from SARS-CoV-2, also known as 3CLpro or Mpro, and it can be used to identify individuals with positive serology against the coronavirus. Higher Ab titers in these assays associated with more-severe disease, and no cross-reactive Abs against prior betacoronavirus were found. Remarkably, IgG Abs specific for Mpro and other SARS-CoV-2 Ags can also be detected in saliva. In conclusion, Mpro is a potent Ag in infected patients that can be used in serological tests, and its detection in saliva could be the basis for a rapid, noninvasive test for COVID-19 seropositivity.","container-title":"The Journal of Immunology","DOI":"10.4049/jimmunol.2000842","ISSN":"0022-1767","issue":"11","journalAbbreviation":"The Journal of Immunology","page":"3130-3140","source":"Silverchair","title":"SARS-CoV-2 Cysteine-like Protease Antibodies Can Be Detected in Serum and Saliva of COVID-19–Seropositive Individuals","URL":"https://doi.org/10.4049/jimmunol.2000842","volume":"205","author":[{"family":"Martínez-Fleta","given":"Pedro"},{"family":"Alfranca","given":"Arantzazu"},{"family":"González-Álvaro","given":"Isidoro"},{"family":"Casasnovas","given":"Jose M."},{"family":"Fernández-Soto","given":"Daniel"},{"family":"Esteso","given":"Gloria"},{"family":"Cáceres-Martell","given":"Yaiza"},{"family":"Gardeta","given":"Sofía"},{"family":"López-Sanz","given":"Celia"},{"family":"Prat","given":"Salomé"},{"family":"Mateu-Albero","given":"Tamara"},{"family":"Gabrie","given":"Ligia"},{"family":"López-Granados","given":"Eduardo"},{"family":"Sánchez-Madrid","given":"Francisco"},{"family":"Reyburn","given":"Hugh T."},{"family":"Rodríguez Frade","given":"José M."},{"family":"Valés-Gómez","given":"Mar"}],"accessed":{"date-parts":[["2023",4,28]]},"issued":{"date-parts":[["2020",12,1]]}}}],"schema":"https://github.com/citation-style-language/schema/raw/master/csl-citation.json"} </w:instrText>
      </w:r>
      <w:r w:rsidR="004D01B9">
        <w:rPr>
          <w:rFonts w:ascii="Helvetica" w:hAnsi="Helvetica"/>
          <w:i/>
          <w:color w:val="FF0000"/>
          <w:shd w:val="clear" w:color="auto" w:fill="FFFFFF"/>
        </w:rPr>
        <w:fldChar w:fldCharType="separate"/>
      </w:r>
      <w:r w:rsidR="004D01B9" w:rsidRPr="004D01B9">
        <w:rPr>
          <w:rFonts w:ascii="Helvetica" w:hAnsi="Helvetica"/>
        </w:rPr>
        <w:t>(18)</w:t>
      </w:r>
      <w:r w:rsidR="004D01B9">
        <w:rPr>
          <w:rFonts w:ascii="Helvetica" w:hAnsi="Helvetica"/>
          <w:i/>
          <w:color w:val="FF0000"/>
          <w:shd w:val="clear" w:color="auto" w:fill="FFFFFF"/>
        </w:rPr>
        <w:fldChar w:fldCharType="end"/>
      </w:r>
      <w:r w:rsidR="00E450AA">
        <w:rPr>
          <w:rFonts w:ascii="Helvetica" w:hAnsi="Helvetica"/>
          <w:i/>
          <w:color w:val="FF0000"/>
          <w:shd w:val="clear" w:color="auto" w:fill="FFFFFF"/>
        </w:rPr>
        <w:t>.</w:t>
      </w:r>
    </w:p>
    <w:p w14:paraId="0A6D743D" w14:textId="77777777" w:rsidR="00FF1167" w:rsidRDefault="00FF1167" w:rsidP="001D7F2E">
      <w:pPr>
        <w:jc w:val="both"/>
        <w:rPr>
          <w:rFonts w:cstheme="minorHAnsi"/>
        </w:rPr>
      </w:pPr>
    </w:p>
    <w:p w14:paraId="1AC3D3AD" w14:textId="41F9FCC4" w:rsidR="00C91AE4" w:rsidRPr="00E450AA" w:rsidRDefault="000345C6" w:rsidP="001D7F2E">
      <w:pPr>
        <w:jc w:val="both"/>
        <w:rPr>
          <w:rFonts w:cstheme="minorHAnsi"/>
          <w:color w:val="FF0000"/>
        </w:rPr>
      </w:pPr>
      <w:r w:rsidRPr="002974BE">
        <w:rPr>
          <w:rFonts w:cstheme="minorHAnsi"/>
        </w:rPr>
        <w:t xml:space="preserve">Frente a esto, es importante tener en cuenta los niveles alcanzados </w:t>
      </w:r>
      <w:r w:rsidR="00125A05" w:rsidRPr="002974BE">
        <w:rPr>
          <w:rFonts w:cstheme="minorHAnsi"/>
        </w:rPr>
        <w:t xml:space="preserve">de los diferentes isotipos se relacionan con el tiempo posterior a </w:t>
      </w:r>
      <w:r w:rsidR="008001E9" w:rsidRPr="002974BE">
        <w:rPr>
          <w:rFonts w:cstheme="minorHAnsi"/>
        </w:rPr>
        <w:t>la</w:t>
      </w:r>
      <w:r w:rsidR="00125A05" w:rsidRPr="002974BE">
        <w:rPr>
          <w:rFonts w:cstheme="minorHAnsi"/>
        </w:rPr>
        <w:t xml:space="preserve"> infección, diferentes estudios mencionan la duración de IgG en suero durante al menos 3 meses</w:t>
      </w:r>
      <w:r w:rsidR="00DF528D" w:rsidRPr="002974BE">
        <w:rPr>
          <w:rFonts w:cstheme="minorHAnsi"/>
        </w:rPr>
        <w:t xml:space="preserve"> y con un máximo de 180 días</w:t>
      </w:r>
      <w:r w:rsidR="00DC3E27">
        <w:rPr>
          <w:rFonts w:cstheme="minorHAnsi"/>
        </w:rPr>
        <w:t xml:space="preserve"> </w:t>
      </w:r>
      <w:r w:rsidR="00DC3E27">
        <w:rPr>
          <w:rFonts w:cstheme="minorHAnsi"/>
        </w:rPr>
        <w:fldChar w:fldCharType="begin"/>
      </w:r>
      <w:r w:rsidR="004D01B9">
        <w:rPr>
          <w:rFonts w:cstheme="minorHAnsi"/>
        </w:rPr>
        <w:instrText xml:space="preserve"> ADDIN ZOTERO_ITEM CSL_CITATION {"citationID":"e5DTZdCL","properties":{"formattedCitation":"(19)","plainCitation":"(19)","noteIndex":0},"citationItems":[{"id":1177,"uris":["http://zotero.org/users/6047638/items/K6CCNLWC"],"itemData":{"id":1177,"type":"article-journal","abstract":"Updated immunization strategies are needed to address multiple severe acute respiratory syndrome coronavirus 2 (SARS-CoV-2) variants. Here we report interim results from an ongoing, open-label phase 2/3 trial evaluating the safety and immunogenicity of the bivalent Coronavirus Disease 2019 (COVID-19) vaccine candidate mRNA-1273.211, which contains equal mRNA amounts encoding the ancestral SARS-CoV-2 and Beta variant spike proteins, as 50-µg (n = 300) and 100-µg (n = 595) first booster doses administered approximately 8.7-9.7 months after the mRNA-1273 primary vaccine series ( NCT04927065 ). The primary objectives were to evaluate the safety and reactogenicity of mRNA-1273.211 and to demonstrate non-inferior antibody responses compared to the mRNA-1273 100-µg primary series. Additionally, a pre-specified immunogenicity objective was to demonstrate superior antibody responses compared to the previously authorized mRNA-1273 50-µg booster. The mRNA-1273.211 booster doses (50-µg or 100-µg) 28 days after immunization elicited higher neutralizing antibody responses against the ancestral SARS-CoV-2 and Beta variant than those elicited 28 days after the second mRNA</w:instrText>
      </w:r>
      <w:r w:rsidR="004D01B9">
        <w:rPr>
          <w:rFonts w:ascii="Cambria Math" w:hAnsi="Cambria Math" w:cs="Cambria Math"/>
        </w:rPr>
        <w:instrText>‑</w:instrText>
      </w:r>
      <w:r w:rsidR="004D01B9">
        <w:rPr>
          <w:rFonts w:cstheme="minorHAnsi"/>
        </w:rPr>
        <w:instrText>1273 dose of the primary series ( NCT04470427 ). Antibody responses 28</w:instrText>
      </w:r>
      <w:r w:rsidR="004D01B9">
        <w:rPr>
          <w:rFonts w:ascii="Calibri" w:hAnsi="Calibri" w:cs="Calibri"/>
        </w:rPr>
        <w:instrText> </w:instrText>
      </w:r>
      <w:r w:rsidR="004D01B9">
        <w:rPr>
          <w:rFonts w:cstheme="minorHAnsi"/>
        </w:rPr>
        <w:instrText xml:space="preserve">days and 180 days after the 50-µg mRNA-1273.211 booster dose were also higher than those after a 50-µg mRNA-1273 booster dose ( NCT04405076 ) against the ancestral SARS-CoV-2 and Beta, Omicron BA.1 and Delta variants, and all pre-specified immunogenicity objectives were met. The safety and reactogenicity profile of the bivalent mRNA-1273.211 booster (50-µg) was similar to the booster dose of mRNA-1273 (50-µg). Immunization with the primary series does not set a ceiling to the neutralizing antibody response, and a booster dose of the bivalent vaccine elicits a robust response with titers that are likely to be protective against COVID-19. These results indicate that bivalent booster vaccines can induce potent, durable and broad antibody responses against multiple variants, providing a new tool in response to emerging variants.","container-title":"Nature Medicine","DOI":"10.1038/s41591-022-02031-7","ISSN":"1546-170X","issue":"11","journalAbbreviation":"Nat Med","language":"eng","note":"PMID: 36202997\nPMCID: PMC9671805","page":"2388-2397","source":"PubMed","title":"Safety, immunogenicity and antibody persistence of a bivalent Beta-containing booster vaccine against COVID-19: a phase 2/3 trial","title-short":"Safety, immunogenicity and antibody persistence of a bivalent Beta-containing booster vaccine against COVID-19","volume":"28","author":[{"family":"Chalkias","given":"Spyros"},{"family":"Eder","given":"Frank"},{"family":"Essink","given":"Brandon"},{"family":"Khetan","given":"Shishir"},{"family":"Nestorova","given":"Biliana"},{"family":"Feng","given":"Jing"},{"family":"Chen","given":"Xing"},{"family":"Chang","given":"Ying"},{"family":"Zhou","given":"Honghong"},{"family":"Montefiori","given":"David"},{"family":"Edwards","given":"Darin K."},{"family":"Girard","given":"Bethany"},{"family":"Pajon","given":"Rolando"},{"family":"Dutko","given":"Frank J."},{"family":"Leav","given":"Brett"},{"family":"Walsh","given":"Stephen R."},{"family":"Baden","given":"Lindsey R."},{"family":"Miller","given":"Jacqueline M."},{"family":"Das","given":"Rituparna"}],"issued":{"date-parts":[["2022",11]]}}}],"schema":"https://github.com/citation-style-language/schema/raw/master/csl-citation.json"} </w:instrText>
      </w:r>
      <w:r w:rsidR="00DC3E27">
        <w:rPr>
          <w:rFonts w:cstheme="minorHAnsi"/>
        </w:rPr>
        <w:fldChar w:fldCharType="separate"/>
      </w:r>
      <w:r w:rsidR="004D01B9" w:rsidRPr="004D01B9">
        <w:rPr>
          <w:rFonts w:ascii="Calibri" w:hAnsi="Calibri" w:cs="Calibri"/>
        </w:rPr>
        <w:t>(19)</w:t>
      </w:r>
      <w:r w:rsidR="00DC3E27">
        <w:rPr>
          <w:rFonts w:cstheme="minorHAnsi"/>
        </w:rPr>
        <w:fldChar w:fldCharType="end"/>
      </w:r>
      <w:r w:rsidR="00125A05" w:rsidRPr="002974BE">
        <w:rPr>
          <w:rFonts w:cstheme="minorHAnsi"/>
        </w:rPr>
        <w:t>; a diferencia que la IgM y la IgA, que disminuyen rápidamente</w:t>
      </w:r>
      <w:r w:rsidR="00DF528D" w:rsidRPr="002974BE">
        <w:rPr>
          <w:rFonts w:cstheme="minorHAnsi"/>
        </w:rPr>
        <w:t xml:space="preserve">, con un promedio de 91 </w:t>
      </w:r>
      <w:proofErr w:type="spellStart"/>
      <w:r w:rsidR="00DF528D" w:rsidRPr="002974BE">
        <w:rPr>
          <w:rFonts w:cstheme="minorHAnsi"/>
        </w:rPr>
        <w:t>dias</w:t>
      </w:r>
      <w:proofErr w:type="spellEnd"/>
      <w:r w:rsidR="00DF528D" w:rsidRPr="002974BE">
        <w:rPr>
          <w:rFonts w:cstheme="minorHAnsi"/>
        </w:rPr>
        <w:t xml:space="preserve"> de la IgM</w:t>
      </w:r>
      <w:r w:rsidR="00125A05" w:rsidRPr="002974BE">
        <w:rPr>
          <w:rFonts w:cstheme="minorHAnsi"/>
        </w:rPr>
        <w:t xml:space="preserve"> </w:t>
      </w:r>
      <w:r w:rsidR="00125A05" w:rsidRPr="002974BE">
        <w:rPr>
          <w:rFonts w:cstheme="minorHAnsi"/>
        </w:rPr>
        <w:fldChar w:fldCharType="begin"/>
      </w:r>
      <w:r w:rsidR="004D01B9">
        <w:rPr>
          <w:rFonts w:cstheme="minorHAnsi"/>
        </w:rPr>
        <w:instrText xml:space="preserve"> ADDIN ZOTERO_ITEM CSL_CITATION {"citationID":"jBjpOm9I","properties":{"formattedCitation":"(20,21)","plainCitation":"(20,21)","noteIndex":0},"citationItems":[{"id":1155,"uris":["http://zotero.org/users/6047638/items/XVIQZJUW"],"itemData":{"id":1155,"type":"article-journal","abstract":"While the antibody response to SARS-CoV-2 has been extensively studied in blood, relatively little is known about the antibody response in saliva and its relationship to systemic antibody levels. Here, we profiled by enzyme-linked immunosorbent assays (ELISAs) IgG, IgA and IgM responses to the SARS-CoV-2 spike protein (full length trimer) and its receptor-binding domain (RBD) in serum and saliva of acute and convalescent patients with laboratory-diagnosed COVID-19 ranging from 3-115 days post-symptom onset (PSO), compared to negative controls. Anti-SARS-CoV-2 antibody responses were readily detected in serum and saliva, with peak IgG levels attained by 16-30 days PSO. Longitudinal analysis revealed that anti-SARS-CoV-2 IgA and IgM antibodies rapidly decayed, while IgG antibodies remained relatively stable up to 105 days PSO in both biofluids. Lastly, IgG, IgM and to a lesser extent IgA responses to spike and RBD in the serum positively correlated with matched saliva samples. This study confirms that serum and saliva IgG antibodies to SARS-CoV-2 are maintained in the majority of COVID-19 patients for at least 3 months PSO. IgG responses in saliva may serve as a surrogate measure of systemic immunity to SARS-CoV-2 based on their correlation with serum IgG responses. © 2020 American Association for the Advancement of Science. All rights reserved.","archive":"Scopus","container-title":"Science Immunology","DOI":"10.1126/sciimmunol.abe5511","ISSN":"2470-9468","issue":"52","language":"English","source":"Scopus","title":"Persistence of serum and saliva antibody responses to SARS-CoV-2 spike antigens in COVID-19 patients","volume":"5","author":[{"family":"Isho","given":"B."},{"family":"Abe","given":"K.T."},{"family":"Zuo","given":"M."},{"family":"Jamal","given":"A.J."},{"family":"Rathod","given":"B."},{"family":"Wang","given":"J.H."},{"family":"Li","given":"Z."},{"family":"Chao","given":"G."},{"family":"Rojas","given":"O.L."},{"family":"Bang","given":"Y.M."},{"family":"Pu","given":"A."},{"family":"Christie-Holmes","given":"N."},{"family":"Gervais","given":"C."},{"family":"Ceccarelli","given":"D."},{"family":"Samavarchi-Tehrani","given":"P."},{"family":"Guvenc","given":"F."},{"family":"Budylowski","given":"P."},{"family":"Li","given":"A."},{"family":"Paterson","given":"A."},{"family":"Yun","given":"Y.F."},{"family":"Marin","given":"L.M."},{"family":"Caldwell","given":"L."},{"family":"Wrana","given":"J.L."},{"family":"Colwill","given":"K."},{"family":"Sicheri","given":"F."},{"family":"Mubareka","given":"S."},{"family":"Gray-Owen","given":"S.D."},{"family":"Drews","given":"S.J."},{"family":"Siqueira","given":"W.L."},{"family":"Barrios-Rodiles","given":"M."},{"family":"Ostrowski","given":"M."},{"family":"Rini","given":"J.M."},{"family":"Durocher","given":"Y."},{"family":"McGeer","given":"A.J."},{"family":"Gommerman","given":"J.L."},{"family":"Gingras","given":"A.-C."}],"issued":{"date-parts":[["2020"]]}}},{"id":1159,"uris":["http://zotero.org/users/6047638/items/ISSZLNGX"],"itemData":{"id":1159,"type":"article-journal","abstract":"Specific antibodies are produced after infection by SARS-CoV2. Currently, the understanding of antibody responses following infection with SARS-CoV-2 is limited including the magnitude, duration of responses and correlates of protective immunity following infection. Here we intended to characterize humoral immune response in a cohort of 55 hospitalized patients for COVID-19 and its relationship with different demographic and clinical parameters. The ELFA assay VIDAS® SARS-Cov-2 (Biomerieux) measured IgG/IgM antibodies. Their concentration over time was evaluated with a fixed effects generalized linear model. All patients seroconverted IgM and IgG, at day 10 and 10.5 respectively, showing a majority synchronous pattern; IgM alone would not be useful as a marker of acute response. Clinical sensitivity was: week 1, 30%, weeks 2 and 3, 72%, 4: 91% and 8: 96%. IgG seropositivity was sustained in patients up to 180 days (last time point measured), in contrast, IgM response was short-lived (91days) in 90.9% of patients. Longer term follow-up is needed to determine the duration of IgG responses. We observed a higher level of IgM in patients &gt; 56 years, and in men compared to women. In chronic obstructive pulmonary disease patients, the IgM response is increased, while in immunocompromised and interstitial lung disease patients, IgM and IgG were lower, respectively. Those patients who required critical care, mechanical ventilation and those who died did not present significant differences in the magnitude of humoral response compared to those who had a less severe course. The methodology used adequately reflects the kinetics of antibodies.","container-title":"Medicina","ISSN":"1669-9106","issue":"1","journalAbbreviation":"Medicina (B Aires)","language":"spa","note":"PMID: 35037855","page":"3-12","source":"PubMed","title":"[SARS-CoV-2 antibodies kinetics in hospitalized patients]","volume":"82","author":[{"family":"Zuanich","given":"Carolina"},{"family":"Garcia Rosolen","given":"Nerina"},{"family":"Olmos Vargas","given":"Paola"},{"family":"Arévalo","given":"Diana"},{"family":"Donati","given":"Pablo"},{"family":"Balbaryski","given":"Jeanette"}],"issued":{"date-parts":[["2022"]]}}}],"schema":"https://github.com/citation-style-language/schema/raw/master/csl-citation.json"} </w:instrText>
      </w:r>
      <w:r w:rsidR="00125A05" w:rsidRPr="002974BE">
        <w:rPr>
          <w:rFonts w:cstheme="minorHAnsi"/>
        </w:rPr>
        <w:fldChar w:fldCharType="separate"/>
      </w:r>
      <w:r w:rsidR="004D01B9" w:rsidRPr="004D01B9">
        <w:rPr>
          <w:rFonts w:ascii="Calibri" w:hAnsi="Calibri" w:cs="Calibri"/>
        </w:rPr>
        <w:t>(20,21)</w:t>
      </w:r>
      <w:r w:rsidR="00125A05" w:rsidRPr="002974BE">
        <w:rPr>
          <w:rFonts w:cstheme="minorHAnsi"/>
        </w:rPr>
        <w:fldChar w:fldCharType="end"/>
      </w:r>
      <w:r w:rsidR="00125A05" w:rsidRPr="002974BE">
        <w:rPr>
          <w:rFonts w:cstheme="minorHAnsi"/>
        </w:rPr>
        <w:t xml:space="preserve">. </w:t>
      </w:r>
      <w:r w:rsidR="00E450AA" w:rsidRPr="00E31094">
        <w:rPr>
          <w:rFonts w:cstheme="minorHAnsi"/>
          <w:i/>
          <w:color w:val="FF0000"/>
          <w:highlight w:val="yellow"/>
        </w:rPr>
        <w:t xml:space="preserve">Si bien nuestro estudio </w:t>
      </w:r>
      <w:r w:rsidR="002D569B" w:rsidRPr="00E31094">
        <w:rPr>
          <w:rFonts w:cstheme="minorHAnsi"/>
          <w:i/>
          <w:color w:val="FF0000"/>
          <w:highlight w:val="yellow"/>
        </w:rPr>
        <w:t>no contemplo</w:t>
      </w:r>
      <w:r w:rsidR="00E450AA" w:rsidRPr="00E31094">
        <w:rPr>
          <w:rFonts w:cstheme="minorHAnsi"/>
          <w:i/>
          <w:color w:val="FF0000"/>
          <w:highlight w:val="yellow"/>
        </w:rPr>
        <w:t xml:space="preserve"> la medición </w:t>
      </w:r>
      <w:proofErr w:type="spellStart"/>
      <w:r w:rsidR="00E450AA" w:rsidRPr="00E31094">
        <w:rPr>
          <w:rFonts w:cstheme="minorHAnsi"/>
          <w:i/>
          <w:color w:val="FF0000"/>
          <w:highlight w:val="yellow"/>
        </w:rPr>
        <w:t>cuantitiva</w:t>
      </w:r>
      <w:proofErr w:type="spellEnd"/>
      <w:r w:rsidR="00E450AA" w:rsidRPr="00E31094">
        <w:rPr>
          <w:rFonts w:cstheme="minorHAnsi"/>
          <w:i/>
          <w:color w:val="FF0000"/>
          <w:highlight w:val="yellow"/>
        </w:rPr>
        <w:t xml:space="preserve"> de los anticuerpos, podemos apreciar que la detección de anticuerpos de isotipo Ig</w:t>
      </w:r>
      <w:r w:rsidR="00613F21" w:rsidRPr="00E31094">
        <w:rPr>
          <w:rFonts w:cstheme="minorHAnsi"/>
          <w:i/>
          <w:color w:val="FF0000"/>
          <w:highlight w:val="yellow"/>
        </w:rPr>
        <w:t>G en la mayoría de la población estudiada para el antígeno S a diferencia de los isotipos IgA e IgM</w:t>
      </w:r>
    </w:p>
    <w:p w14:paraId="5D91841E" w14:textId="7D61A82A" w:rsidR="008001E9" w:rsidRDefault="005F28DF" w:rsidP="001D7F2E">
      <w:pPr>
        <w:jc w:val="both"/>
        <w:rPr>
          <w:rFonts w:cstheme="minorHAnsi"/>
        </w:rPr>
      </w:pPr>
      <w:r>
        <w:rPr>
          <w:rFonts w:cstheme="minorHAnsi"/>
        </w:rPr>
        <w:t>S</w:t>
      </w:r>
      <w:r w:rsidR="002974BE" w:rsidRPr="002974BE">
        <w:rPr>
          <w:rFonts w:cstheme="minorHAnsi"/>
        </w:rPr>
        <w:t xml:space="preserve">e estudio el comportamiento del IgG anti-N y el IgG anti </w:t>
      </w:r>
      <w:proofErr w:type="spellStart"/>
      <w:r w:rsidR="002974BE" w:rsidRPr="002974BE">
        <w:rPr>
          <w:rFonts w:cstheme="minorHAnsi"/>
        </w:rPr>
        <w:t>Spike</w:t>
      </w:r>
      <w:proofErr w:type="spellEnd"/>
      <w:r w:rsidR="002974BE" w:rsidRPr="002974BE">
        <w:rPr>
          <w:rFonts w:cstheme="minorHAnsi"/>
        </w:rPr>
        <w:t xml:space="preserve"> </w:t>
      </w:r>
      <w:r w:rsidR="007372EA">
        <w:rPr>
          <w:rFonts w:cstheme="minorHAnsi"/>
        </w:rPr>
        <w:t xml:space="preserve">en trabajadores de salud en Guatemala y </w:t>
      </w:r>
      <w:proofErr w:type="spellStart"/>
      <w:r w:rsidR="007372EA">
        <w:rPr>
          <w:rFonts w:cstheme="minorHAnsi"/>
        </w:rPr>
        <w:t>Mexico</w:t>
      </w:r>
      <w:proofErr w:type="spellEnd"/>
      <w:r w:rsidR="002974BE">
        <w:rPr>
          <w:rFonts w:cstheme="minorHAnsi"/>
        </w:rPr>
        <w:t xml:space="preserve">, presentando </w:t>
      </w:r>
      <w:r w:rsidR="007372EA">
        <w:rPr>
          <w:rFonts w:cstheme="minorHAnsi"/>
        </w:rPr>
        <w:t xml:space="preserve"> </w:t>
      </w:r>
      <w:r w:rsidR="00C91AE4">
        <w:rPr>
          <w:rFonts w:cstheme="minorHAnsi"/>
        </w:rPr>
        <w:t>cerca del 60% de seroconversión en los que tuvieron un diagn</w:t>
      </w:r>
      <w:r w:rsidR="001C2BBF">
        <w:rPr>
          <w:rFonts w:cstheme="minorHAnsi"/>
        </w:rPr>
        <w:t>ó</w:t>
      </w:r>
      <w:r w:rsidR="00C91AE4">
        <w:rPr>
          <w:rFonts w:cstheme="minorHAnsi"/>
        </w:rPr>
        <w:t>stico positivo y se observó la diferencia en la titulación de los IgG anti SARS-CoV-2 en los pos</w:t>
      </w:r>
      <w:r w:rsidR="001C2BBF">
        <w:rPr>
          <w:rFonts w:cstheme="minorHAnsi"/>
        </w:rPr>
        <w:t xml:space="preserve">t </w:t>
      </w:r>
      <w:r w:rsidR="00C91AE4">
        <w:rPr>
          <w:rFonts w:cstheme="minorHAnsi"/>
        </w:rPr>
        <w:t>vacunados en más de 3000UA/</w:t>
      </w:r>
      <w:proofErr w:type="spellStart"/>
      <w:r w:rsidR="00C91AE4">
        <w:rPr>
          <w:rFonts w:cstheme="minorHAnsi"/>
        </w:rPr>
        <w:t>mL</w:t>
      </w:r>
      <w:proofErr w:type="spellEnd"/>
      <w:r w:rsidR="00C91AE4">
        <w:rPr>
          <w:rFonts w:cstheme="minorHAnsi"/>
        </w:rPr>
        <w:t xml:space="preserve"> a diferencia de los que no tienen antecedente previ</w:t>
      </w:r>
      <w:r>
        <w:rPr>
          <w:rFonts w:cstheme="minorHAnsi"/>
        </w:rPr>
        <w:t xml:space="preserve">a </w:t>
      </w:r>
      <w:r>
        <w:rPr>
          <w:rFonts w:cstheme="minorHAnsi"/>
        </w:rPr>
        <w:fldChar w:fldCharType="begin"/>
      </w:r>
      <w:r w:rsidR="004D01B9">
        <w:rPr>
          <w:rFonts w:cstheme="minorHAnsi"/>
        </w:rPr>
        <w:instrText xml:space="preserve"> ADDIN ZOTERO_ITEM CSL_CITATION {"citationID":"2Dk75peX","properties":{"formattedCitation":"(22)","plainCitation":"(22)","noteIndex":0},"citationItems":[{"id":1164,"uris":["http://zotero.org/users/6047638/items/9EV8IG8N"],"itemData":{"id":1164,"type":"article-journal","abstract":"INTRODUCTION: The study of anti-SARS-CoV-2 IgG antibodies allows asymptomatic individuals with COVID-19 to be identified, and post-infection and post-vaccination immunity status to be evaluated.\nOBJECTIVE: To know the behavior of anti-SARS-CoV-2 IgG antibodies before and after vaccination in workers of a cancer center.\nMETHODS: Prior to the application of the vaccine, the presence of anti-SARS-CoV-2 IgG antibodies (n = 171) was analyzed by evaluating anti-N IgG antibodies; post-vaccination, after receiving the second dose, anti-S IgG antibodies were evaluated (n = 60).\nRESULTS: Prior to vaccination, IgG antibodies were present in 18.71% of participants; they were detected in 65.22% of those with prior history of COVID-19 diagnosis and in 11.49% of those without it. The positions with the highest prevalence were nurses (28.26%), paramedics (27.59%) and administrative workers (27.78%), p &lt; 0.01. Anosmia, ageusia and chest tightness were associated with the presence of IgG (p &lt; 0.05). Post-vaccination, all participants developed IgG antibodies; people with a previous COVID-19 diagnosis had higher titers: 10,277 vs. 6,819 AU/mL, p &lt; 0.001.\nCONCLUSIONS: The study of anti-SARS-CoV-2 IgG antibodies allowed asymptomatic health workers to be identified. A high percentage of participants with prior COVID-19 diagnosis had antibodies. All participants developed IgG antibodies after vaccination, with higher titers being identified in those with previous infection.","container-title":"Gaceta Medica De Mexico","DOI":"10.24875/GMM.M22000645","ISSN":"0016-3813","issue":"2","journalAbbreviation":"Gac Med Mex","language":"eng","note":"PMID: 35763821","page":"78-82","source":"PubMed","title":"Anti-SARS-CoV-2 IgG antibodies pre- and post-vaccination behavior in health workers from a Guatemalan cancer center","volume":"158","author":[{"family":"Carías-Alvarado","given":"César C."},{"family":"López-Hun","given":"Francisco"},{"family":"Valvert","given":"Fabiola"},{"family":"Barrios-Menéndez","given":"Juan C."},{"family":"Kihn-Alarcón","given":"Alba"},{"family":"Falla","given":"Vicky","dropping-particle":"de"},{"family":"Xu","given":"Ximing"},{"family":"Escobar-Castro","given":"Karla"}],"issued":{"date-parts":[["2022"]]}}}],"schema":"https://github.com/citation-style-language/schema/raw/master/csl-citation.json"} </w:instrText>
      </w:r>
      <w:r>
        <w:rPr>
          <w:rFonts w:cstheme="minorHAnsi"/>
        </w:rPr>
        <w:fldChar w:fldCharType="separate"/>
      </w:r>
      <w:r w:rsidR="004D01B9" w:rsidRPr="004D01B9">
        <w:rPr>
          <w:rFonts w:ascii="Calibri" w:hAnsi="Calibri" w:cs="Calibri"/>
        </w:rPr>
        <w:t>(22)</w:t>
      </w:r>
      <w:r>
        <w:rPr>
          <w:rFonts w:cstheme="minorHAnsi"/>
        </w:rPr>
        <w:fldChar w:fldCharType="end"/>
      </w:r>
      <w:r w:rsidR="00C91AE4">
        <w:rPr>
          <w:rFonts w:cstheme="minorHAnsi"/>
        </w:rPr>
        <w:t>.</w:t>
      </w:r>
      <w:r w:rsidR="00DC3E27">
        <w:rPr>
          <w:rFonts w:cstheme="minorHAnsi"/>
        </w:rPr>
        <w:t xml:space="preserve"> </w:t>
      </w:r>
      <w:r w:rsidR="00846813" w:rsidRPr="00E31094">
        <w:rPr>
          <w:rFonts w:cstheme="minorHAnsi"/>
          <w:color w:val="FF0000"/>
        </w:rPr>
        <w:t>Por otro lado, se realiz</w:t>
      </w:r>
      <w:r w:rsidR="001C2BBF" w:rsidRPr="00E31094">
        <w:rPr>
          <w:rFonts w:cstheme="minorHAnsi"/>
          <w:color w:val="FF0000"/>
        </w:rPr>
        <w:t>ó</w:t>
      </w:r>
      <w:r w:rsidR="00846813" w:rsidRPr="00E31094">
        <w:rPr>
          <w:rFonts w:cstheme="minorHAnsi"/>
          <w:color w:val="FF0000"/>
        </w:rPr>
        <w:t xml:space="preserve"> un</w:t>
      </w:r>
      <w:r w:rsidR="001C2BBF" w:rsidRPr="00E31094">
        <w:rPr>
          <w:rFonts w:cstheme="minorHAnsi"/>
          <w:color w:val="FF0000"/>
        </w:rPr>
        <w:t>a</w:t>
      </w:r>
      <w:r w:rsidR="00846813" w:rsidRPr="00E31094">
        <w:rPr>
          <w:rFonts w:cstheme="minorHAnsi"/>
          <w:color w:val="FF0000"/>
        </w:rPr>
        <w:t xml:space="preserve"> </w:t>
      </w:r>
      <w:proofErr w:type="spellStart"/>
      <w:r w:rsidR="00846813" w:rsidRPr="00E31094">
        <w:rPr>
          <w:rFonts w:cstheme="minorHAnsi"/>
          <w:color w:val="FF0000"/>
        </w:rPr>
        <w:t>coherte</w:t>
      </w:r>
      <w:proofErr w:type="spellEnd"/>
      <w:r w:rsidR="00846813" w:rsidRPr="00E31094">
        <w:rPr>
          <w:rFonts w:cstheme="minorHAnsi"/>
          <w:color w:val="FF0000"/>
        </w:rPr>
        <w:t xml:space="preserve"> donde se estudió el nivel de anticuerpos entre los que se vacunaron y los que se infectaron de forma natural </w:t>
      </w:r>
      <w:r w:rsidR="001C2BBF" w:rsidRPr="00E31094">
        <w:rPr>
          <w:rFonts w:cstheme="minorHAnsi"/>
          <w:color w:val="FF0000"/>
        </w:rPr>
        <w:t xml:space="preserve">y </w:t>
      </w:r>
      <w:r w:rsidR="00846813" w:rsidRPr="00E31094">
        <w:rPr>
          <w:rFonts w:cstheme="minorHAnsi"/>
          <w:color w:val="FF0000"/>
        </w:rPr>
        <w:t>sin</w:t>
      </w:r>
      <w:r w:rsidR="001C2BBF" w:rsidRPr="00E31094">
        <w:rPr>
          <w:rFonts w:cstheme="minorHAnsi"/>
          <w:color w:val="FF0000"/>
        </w:rPr>
        <w:t xml:space="preserve"> ninguna</w:t>
      </w:r>
      <w:r w:rsidR="00846813" w:rsidRPr="00E31094">
        <w:rPr>
          <w:rFonts w:cstheme="minorHAnsi"/>
          <w:color w:val="FF0000"/>
        </w:rPr>
        <w:t xml:space="preserve"> vacuna, encontrando un</w:t>
      </w:r>
      <w:r w:rsidR="00B546E5" w:rsidRPr="00E31094">
        <w:rPr>
          <w:rFonts w:cstheme="minorHAnsi"/>
          <w:color w:val="FF0000"/>
        </w:rPr>
        <w:t xml:space="preserve"> aumento de los IgG anti-</w:t>
      </w:r>
      <w:proofErr w:type="spellStart"/>
      <w:r w:rsidR="00B546E5" w:rsidRPr="00E31094">
        <w:rPr>
          <w:rFonts w:cstheme="minorHAnsi"/>
          <w:color w:val="FF0000"/>
        </w:rPr>
        <w:t>Spike</w:t>
      </w:r>
      <w:proofErr w:type="spellEnd"/>
      <w:r w:rsidR="00B546E5" w:rsidRPr="00E31094">
        <w:rPr>
          <w:rFonts w:cstheme="minorHAnsi"/>
          <w:color w:val="FF0000"/>
        </w:rPr>
        <w:t>, pero una disminución progresiva de los anti-N</w:t>
      </w:r>
      <w:r w:rsidR="0051531C" w:rsidRPr="00E31094">
        <w:rPr>
          <w:rFonts w:cstheme="minorHAnsi"/>
          <w:color w:val="FF0000"/>
        </w:rPr>
        <w:t xml:space="preserve"> IgG </w:t>
      </w:r>
      <w:r w:rsidR="0051531C" w:rsidRPr="00E31094">
        <w:rPr>
          <w:rFonts w:cstheme="minorHAnsi"/>
          <w:color w:val="FF0000"/>
        </w:rPr>
        <w:fldChar w:fldCharType="begin"/>
      </w:r>
      <w:r w:rsidR="004D01B9">
        <w:rPr>
          <w:rFonts w:cstheme="minorHAnsi"/>
          <w:color w:val="FF0000"/>
        </w:rPr>
        <w:instrText xml:space="preserve"> ADDIN ZOTERO_ITEM CSL_CITATION {"citationID":"cxsF3q89","properties":{"formattedCitation":"(23)","plainCitation":"(23)","noteIndex":0},"citationItems":[{"id":1188,"uris":["http://zotero.org/users/6047638/items/YTYWANBH"],"itemData":{"id":1188,"type":"article-journal","abstract":"BACKGROUND: Investigating antibody titers in individuals who have been both naturally infected with SARS-CoV-2 and vaccinated can provide insight into antibody dynamics and correlates of protection over time.\nMETHODS: Human coronavirus (HCoV) IgG antibodies were measured longitudinally in a prospective cohort of qPCR-confirmed, COVID-19 recovered individuals (k = 57) in British Columbia pre- and post-vaccination. SARS-CoV-2 and endemic HCoV antibodies were measured in serum collected between Nov. 2020 and Sept. 2021 (n = 341). Primary analysis used a linear mixed-effects model to understand the effect of single dose vaccination on antibody concentrations adjusting for biological sex, age, time from infection and vaccination. Secondary analysis investigated the cumulative incidence of high SARS-CoV-2 anti-spike IgG seroreactivity equal to or greater than 5.5 log10 AU/mL up to 105 days post-vaccination. No re-infections were detected in vaccinated participants, post-vaccination by qPCR performed on self-collected nasopharyngeal specimens.\nRESULTS: Bivariate analysis (complete data for 42 participants, 270 samples over 472 days) found SARS-CoV-2 spike and RBD antibodies increased 14-56 days post-vaccination (p &lt; 0.001) and vaccination prevented waning (regression coefficient, B = 1.66 [95%CI: 1.45-3.46]); while decline of nucleocapsid antibodies over time was observed (regression coefficient, B = -0.24 [95%CI: -1.2-(-0.12)]). A positive association was found between COVID-19 vaccination and endemic human β-coronavirus IgG titer 14-56 days post vaccination (OC43, p = 0.02 &amp; HKU1, p = 0.02). On average, SARS-CoV-2 anti-spike IgG concentration increased in participants who received one vaccine dose by 2.06 log10 AU/mL (95%CI: 1.45-3.46) adjusting for age, biological sex, and time since infection. Cumulative incidence of high SARS-CoV-2 spike antibodies (&gt;5.5 log10 AU/mL) was 83% greater in vaccinated compared to unvaccinated individuals.\nCONCLUSIONS: Our study confirms that vaccination post-SARS-CoV-2 infection provides multiple benefits, such as increasing anti-spike IgG titers and preventing decay up to 85 days post-vaccination.","container-title":"Viruses","DOI":"10.3390/v14112416","ISSN":"1999-4915","issue":"11","journalAbbreviation":"Viruses","language":"eng","note":"PMID: 36366515\nPMCID: PMC9694471","page":"2416","source":"PubMed","title":"Characterizing Longitudinal Antibody Responses in Recovered Individuals Following COVID-19 Infection and Single-Dose Vaccination: A Prospective Cohort Study","title-short":"Characterizing Longitudinal Antibody Responses in Recovered Individuals Following COVID-19 Infection and Single-Dose Vaccination","volume":"14","author":[{"family":"Olmstead","given":"Andrea D."},{"family":"Nikiforuk","given":"Aidan M."},{"family":"Schwartz","given":"Sydney"},{"family":"Márquez","given":"Ana Citlali"},{"family":"Valadbeigy","given":"Tahereh"},{"family":"Flores","given":"Eri"},{"family":"Saran","given":"Monika"},{"family":"Goldfarb","given":"David M."},{"family":"Hayden","given":"Althea"},{"family":"Masud","given":"Shazia"},{"family":"Russell","given":"Shannon L."},{"family":"Prystajecky","given":"Natalie"},{"family":"Jassem","given":"Agatha N."},{"family":"Morshed","given":"Muhammad"},{"family":"Sekirov","given":"Inna"}],"issued":{"date-parts":[["2022",10,31]]}}}],"schema":"https://github.com/citation-style-language/schema/raw/master/csl-citation.json"} </w:instrText>
      </w:r>
      <w:r w:rsidR="0051531C" w:rsidRPr="00E31094">
        <w:rPr>
          <w:rFonts w:cstheme="minorHAnsi"/>
          <w:color w:val="FF0000"/>
        </w:rPr>
        <w:fldChar w:fldCharType="separate"/>
      </w:r>
      <w:r w:rsidR="004D01B9" w:rsidRPr="004D01B9">
        <w:rPr>
          <w:rFonts w:ascii="Calibri" w:hAnsi="Calibri" w:cs="Calibri"/>
        </w:rPr>
        <w:t>(23)</w:t>
      </w:r>
      <w:r w:rsidR="0051531C" w:rsidRPr="00E31094">
        <w:rPr>
          <w:rFonts w:cstheme="minorHAnsi"/>
          <w:color w:val="FF0000"/>
        </w:rPr>
        <w:fldChar w:fldCharType="end"/>
      </w:r>
      <w:r w:rsidR="0051531C">
        <w:rPr>
          <w:rFonts w:cstheme="minorHAnsi"/>
        </w:rPr>
        <w:t>.</w:t>
      </w:r>
      <w:r w:rsidR="00E31094">
        <w:rPr>
          <w:rFonts w:cstheme="minorHAnsi"/>
        </w:rPr>
        <w:t xml:space="preserve">  </w:t>
      </w:r>
    </w:p>
    <w:p w14:paraId="187E4240" w14:textId="669536E7" w:rsidR="005F28DF" w:rsidRPr="007C168E" w:rsidRDefault="005F28DF" w:rsidP="001D7F2E">
      <w:pPr>
        <w:jc w:val="both"/>
        <w:rPr>
          <w:rFonts w:cstheme="minorHAnsi"/>
          <w:color w:val="FF0000"/>
        </w:rPr>
      </w:pPr>
      <w:r>
        <w:rPr>
          <w:rFonts w:cstheme="minorHAnsi"/>
        </w:rPr>
        <w:t xml:space="preserve">Ahora bien, a lo largo de la vacunación en el Perú se ha ido cambiando </w:t>
      </w:r>
      <w:proofErr w:type="gramStart"/>
      <w:r>
        <w:rPr>
          <w:rFonts w:cstheme="minorHAnsi"/>
        </w:rPr>
        <w:t>la marcas</w:t>
      </w:r>
      <w:proofErr w:type="gramEnd"/>
      <w:r>
        <w:rPr>
          <w:rFonts w:cstheme="minorHAnsi"/>
        </w:rPr>
        <w:t xml:space="preserve"> de acuerdo a las dosis </w:t>
      </w:r>
      <w:r w:rsidR="00B36FE0">
        <w:rPr>
          <w:rFonts w:cstheme="minorHAnsi"/>
        </w:rPr>
        <w:t>establecidas, basando la importancia en la diferencia para la generación de anticuerpos dependiendo de la marcas. Por ejemplo, las vacunas vectoriales (J&amp;J</w:t>
      </w:r>
      <w:r w:rsidR="00BB6D06">
        <w:rPr>
          <w:rFonts w:cstheme="minorHAnsi"/>
        </w:rPr>
        <w:t xml:space="preserve"> y AstraZeneca</w:t>
      </w:r>
      <w:r w:rsidR="00B36FE0">
        <w:rPr>
          <w:rFonts w:cstheme="minorHAnsi"/>
        </w:rPr>
        <w:t xml:space="preserve">) presentan una menor titulación de anticuerpos en comparación </w:t>
      </w:r>
      <w:r w:rsidR="00BB6D06">
        <w:rPr>
          <w:rFonts w:cstheme="minorHAnsi"/>
        </w:rPr>
        <w:t xml:space="preserve">a </w:t>
      </w:r>
      <w:r w:rsidR="00B36FE0">
        <w:rPr>
          <w:rFonts w:cstheme="minorHAnsi"/>
        </w:rPr>
        <w:t xml:space="preserve"> los de ARNm (Pfizer- BioNTech o Moderna)</w:t>
      </w:r>
      <w:r w:rsidR="003C3B63">
        <w:rPr>
          <w:rFonts w:cstheme="minorHAnsi"/>
        </w:rPr>
        <w:t xml:space="preserve"> </w:t>
      </w:r>
      <w:r w:rsidR="00BB6D06">
        <w:rPr>
          <w:rFonts w:cstheme="minorHAnsi"/>
        </w:rPr>
        <w:fldChar w:fldCharType="begin"/>
      </w:r>
      <w:r w:rsidR="004D01B9">
        <w:rPr>
          <w:rFonts w:cstheme="minorHAnsi"/>
        </w:rPr>
        <w:instrText xml:space="preserve"> ADDIN ZOTERO_ITEM CSL_CITATION {"citationID":"oKTuTRql","properties":{"formattedCitation":"(24,25)","plainCitation":"(24,25)","noteIndex":0},"citationItems":[{"id":1167,"uris":["http://zotero.org/users/6047638/items/R35DNW7H"],"itemData":{"id":1167,"type":"webpage","abstract":"Sepa cómo actúan las vacunas contra el COVID-19 para que genere inmunidad contra el virus.","container-title":"Centers for Disease Control and Prevention","language":"es","title":"Información para entender cómo actúan las vacunas contra el COVID-19","URL":"https://espanol.cdc.gov/coronavirus/2019-ncov/vaccines/different-vaccines/how-they-work.html","accessed":{"date-parts":[["2023",4,26]]},"issued":{"date-parts":[["2023",2,3]]}}},{"id":1169,"uris":["http://zotero.org/users/6047638/items/74D6JY88"],"itemData":{"id":1169,"type":"article-journal","container-title":"Gaceta Médica de México","DOI":"10.24875/GMM.21000674","issue":"2","source":"www.gacetamedicademexico.com","title":"Comportamiento de anticuerpos IgG anti-SARS-CoV-2 en trabajadores de salud pre y posvacunación en un centro oncológico de Guatemala","URL":"https://www.gacetamedicademexico.com/frame_esp.php?id=702","volume":"158","author":[{"family":"Carías-Alvarado","given":"César C."},{"family":"López-Hun","given":"Francisco"},{"family":"Valvert","given":"Fabiola"},{"family":"Barrios-Menéndez","given":"Juan C."},{"family":"Kihn-Alarcón","given":"Alba"},{"family":"Falla","given":"Vicky","non-dropping-particle":"de"},{"family":"Xu","given":"Ximing"},{"family":"Escobar-Castro","given":"Karla"}],"accessed":{"date-parts":[["2023",4,26]]},"issued":{"date-parts":[["2022"]]}}}],"schema":"https://github.com/citation-style-language/schema/raw/master/csl-citation.json"} </w:instrText>
      </w:r>
      <w:r w:rsidR="00BB6D06">
        <w:rPr>
          <w:rFonts w:cstheme="minorHAnsi"/>
        </w:rPr>
        <w:fldChar w:fldCharType="separate"/>
      </w:r>
      <w:r w:rsidR="004D01B9" w:rsidRPr="004D01B9">
        <w:rPr>
          <w:rFonts w:ascii="Calibri" w:hAnsi="Calibri" w:cs="Calibri"/>
        </w:rPr>
        <w:t>(24,25)</w:t>
      </w:r>
      <w:r w:rsidR="00BB6D06">
        <w:rPr>
          <w:rFonts w:cstheme="minorHAnsi"/>
        </w:rPr>
        <w:fldChar w:fldCharType="end"/>
      </w:r>
      <w:r w:rsidR="00BB6D06">
        <w:rPr>
          <w:rFonts w:cstheme="minorHAnsi"/>
        </w:rPr>
        <w:t xml:space="preserve">; sin embargo, desde que se </w:t>
      </w:r>
      <w:proofErr w:type="spellStart"/>
      <w:r w:rsidR="00BB6D06">
        <w:rPr>
          <w:rFonts w:cstheme="minorHAnsi"/>
        </w:rPr>
        <w:t>inicio</w:t>
      </w:r>
      <w:proofErr w:type="spellEnd"/>
      <w:r w:rsidR="00BB6D06">
        <w:rPr>
          <w:rFonts w:cstheme="minorHAnsi"/>
        </w:rPr>
        <w:t xml:space="preserve"> los estudios post</w:t>
      </w:r>
      <w:r w:rsidR="001C2BBF">
        <w:rPr>
          <w:rFonts w:cstheme="minorHAnsi"/>
        </w:rPr>
        <w:t xml:space="preserve"> </w:t>
      </w:r>
      <w:r w:rsidR="00BB6D06">
        <w:rPr>
          <w:rFonts w:cstheme="minorHAnsi"/>
        </w:rPr>
        <w:t xml:space="preserve">vacunación, se comprobó </w:t>
      </w:r>
      <w:r w:rsidR="00F84E13">
        <w:rPr>
          <w:rFonts w:cstheme="minorHAnsi"/>
        </w:rPr>
        <w:t>que con las vacunas vectoriales,</w:t>
      </w:r>
      <w:r w:rsidR="00BB6D06">
        <w:rPr>
          <w:rFonts w:cstheme="minorHAnsi"/>
        </w:rPr>
        <w:t xml:space="preserve"> la cantidad de anticuerpos neutralizantes fueron </w:t>
      </w:r>
      <w:proofErr w:type="spellStart"/>
      <w:r w:rsidR="00BB6D06">
        <w:rPr>
          <w:rFonts w:cstheme="minorHAnsi"/>
        </w:rPr>
        <w:t>mas</w:t>
      </w:r>
      <w:proofErr w:type="spellEnd"/>
      <w:r w:rsidR="00BB6D06">
        <w:rPr>
          <w:rFonts w:cstheme="minorHAnsi"/>
        </w:rPr>
        <w:t xml:space="preserve"> altos en los vacunados que los que se infectaron de forma natural</w:t>
      </w:r>
      <w:r w:rsidR="003C3B63">
        <w:rPr>
          <w:rFonts w:cstheme="minorHAnsi"/>
        </w:rPr>
        <w:t xml:space="preserve"> </w:t>
      </w:r>
      <w:r w:rsidR="00BB6D06">
        <w:rPr>
          <w:rFonts w:cstheme="minorHAnsi"/>
        </w:rPr>
        <w:fldChar w:fldCharType="begin"/>
      </w:r>
      <w:r w:rsidR="004D01B9">
        <w:rPr>
          <w:rFonts w:cstheme="minorHAnsi"/>
        </w:rPr>
        <w:instrText xml:space="preserve"> ADDIN ZOTERO_ITEM CSL_CITATION {"citationID":"uSMYf7Zz","properties":{"formattedCitation":"(26)","plainCitation":"(26)","noteIndex":0},"citationItems":[{"id":1171,"uris":["http://zotero.org/users/6047638/items/72AQ4MCA"],"itemData":{"id":1171,"type":"article-journal","abstract":"Although antibody levels progressively decrease following SARS-CoV-2 infection, the immune memory persists for months. Thus, individuals who naturally contracted SARS-CoV-2 are expected to develop a more rapid and sustained response to COVID-19 vaccines than naïve individuals. In this study, we analyzed the dynamics of the antibody response to the BNT162b2 mRNA COVID-19 vaccine in six healthcare workers who contracted SARS-CoV-2 in March 2020, in comparison to nine control subjects without a previous infection. The vaccine was well tolerated by both groups, with no significant difference in the frequency of vaccine-associated side effects, with the exception of local pain, which was more common in previously infected subjects. Overall, the titers of neutralizing antibodies were markedly higher in response to the vaccine than after natural infection. In all subjects with pre-existing immunity, a rapid increase in anti-spike receptor-binding domain (RBD) IgG antibodies and neutralizing antibody titers was observed one week after the first dose, which seemed to act as a booster. Notably, in previously infected individuals, neutralizing antibody titers 7 days after the first vaccine dose were not significantly different from those observed in naïve subjects 7 days after the second vaccine dose. These results suggest that, in previously infected people, a single dose of the vaccine might be sufficient to induce an effective response.","container-title":"Viruses","DOI":"10.3390/v13030422","ISSN":"1999-4915","issue":"3","journalAbbreviation":"Viruses","language":"eng","note":"PMID: 33807957\nPMCID: PMC8001674","page":"422","source":"PubMed","title":"Antibody Response to the BNT162b2 mRNA COVID-19 Vaccine in Subjects with Prior SARS-CoV-2 Infection","volume":"13","author":[{"family":"Gobbi","given":"Federico"},{"family":"Buonfrate","given":"Dora"},{"family":"Moro","given":"Lucia"},{"family":"Rodari","given":"Paola"},{"family":"Piubelli","given":"Chiara"},{"family":"Caldrer","given":"Sara"},{"family":"Riccetti","given":"Silvia"},{"family":"Sinigaglia","given":"Alessandro"},{"family":"Barzon","given":"Luisa"}],"issued":{"date-parts":[["2021",3,5]]}}}],"schema":"https://github.com/citation-style-language/schema/raw/master/csl-citation.json"} </w:instrText>
      </w:r>
      <w:r w:rsidR="00BB6D06">
        <w:rPr>
          <w:rFonts w:cstheme="minorHAnsi"/>
        </w:rPr>
        <w:fldChar w:fldCharType="separate"/>
      </w:r>
      <w:r w:rsidR="004D01B9" w:rsidRPr="004D01B9">
        <w:rPr>
          <w:rFonts w:ascii="Calibri" w:hAnsi="Calibri" w:cs="Calibri"/>
        </w:rPr>
        <w:t>(26)</w:t>
      </w:r>
      <w:r w:rsidR="00BB6D06">
        <w:rPr>
          <w:rFonts w:cstheme="minorHAnsi"/>
        </w:rPr>
        <w:fldChar w:fldCharType="end"/>
      </w:r>
      <w:r w:rsidR="00BB6D06">
        <w:rPr>
          <w:rFonts w:cstheme="minorHAnsi"/>
        </w:rPr>
        <w:t>.</w:t>
      </w:r>
      <w:r w:rsidR="00F354E8">
        <w:rPr>
          <w:rFonts w:cstheme="minorHAnsi"/>
        </w:rPr>
        <w:t xml:space="preserve"> Además, </w:t>
      </w:r>
      <w:r w:rsidR="00F84E13">
        <w:rPr>
          <w:rFonts w:cstheme="minorHAnsi"/>
        </w:rPr>
        <w:t>al recibir los refuerzos de las vacunas aumentaban la cantidad en sus títulos</w:t>
      </w:r>
      <w:r w:rsidR="001C2BBF">
        <w:rPr>
          <w:rFonts w:cstheme="minorHAnsi"/>
        </w:rPr>
        <w:t>,</w:t>
      </w:r>
      <w:r w:rsidR="00F84E13">
        <w:rPr>
          <w:rFonts w:cstheme="minorHAnsi"/>
        </w:rPr>
        <w:t xml:space="preserve"> </w:t>
      </w:r>
      <w:proofErr w:type="spellStart"/>
      <w:r w:rsidR="00F84E13">
        <w:rPr>
          <w:rFonts w:cstheme="minorHAnsi"/>
        </w:rPr>
        <w:t>aproximadamende</w:t>
      </w:r>
      <w:proofErr w:type="spellEnd"/>
      <w:r w:rsidR="00F84E13">
        <w:rPr>
          <w:rFonts w:cstheme="minorHAnsi"/>
        </w:rPr>
        <w:t xml:space="preserve"> de 30.8 y 8 veces de la IgG </w:t>
      </w:r>
      <w:r w:rsidR="00ED4531">
        <w:rPr>
          <w:rFonts w:cstheme="minorHAnsi"/>
        </w:rPr>
        <w:t xml:space="preserve">y de la IgA </w:t>
      </w:r>
      <w:r w:rsidR="00F84E13">
        <w:rPr>
          <w:rFonts w:cstheme="minorHAnsi"/>
        </w:rPr>
        <w:t xml:space="preserve">anti- </w:t>
      </w:r>
      <w:proofErr w:type="spellStart"/>
      <w:r w:rsidR="00F84E13">
        <w:rPr>
          <w:rFonts w:cstheme="minorHAnsi"/>
        </w:rPr>
        <w:t>Spike</w:t>
      </w:r>
      <w:proofErr w:type="spellEnd"/>
      <w:r w:rsidR="00F84E13">
        <w:rPr>
          <w:rFonts w:cstheme="minorHAnsi"/>
        </w:rPr>
        <w:t xml:space="preserve"> y anti-RBD respectivamente</w:t>
      </w:r>
      <w:r w:rsidR="001C2BBF">
        <w:rPr>
          <w:rFonts w:cstheme="minorHAnsi"/>
        </w:rPr>
        <w:t>,</w:t>
      </w:r>
      <w:r w:rsidR="00ED4531">
        <w:rPr>
          <w:rFonts w:cstheme="minorHAnsi"/>
        </w:rPr>
        <w:t xml:space="preserve"> como se comprobó en los estudios realizados con la vacuna Pfizer BNT162b2</w:t>
      </w:r>
      <w:r w:rsidR="003C3B63">
        <w:rPr>
          <w:rFonts w:cstheme="minorHAnsi"/>
        </w:rPr>
        <w:t xml:space="preserve"> </w:t>
      </w:r>
      <w:r w:rsidR="00F84E13">
        <w:rPr>
          <w:rFonts w:cstheme="minorHAnsi"/>
        </w:rPr>
        <w:fldChar w:fldCharType="begin"/>
      </w:r>
      <w:r w:rsidR="004D01B9">
        <w:rPr>
          <w:rFonts w:cstheme="minorHAnsi"/>
        </w:rPr>
        <w:instrText xml:space="preserve"> ADDIN ZOTERO_ITEM CSL_CITATION {"citationID":"D47CAqoW","properties":{"formattedCitation":"(27)","plainCitation":"(27)","noteIndex":0},"citationItems":[{"id":1174,"uris":["http://zotero.org/users/6047638/items/7ZBS48N4"],"itemData":{"id":1174,"type":"article-journal","abstract":"OBJECTIVES: Since universal vaccination is a pillar against coronavirus disease 2019 (COVID-19), monitoring anti-SARS-CoV-2 neutralizing antibodies is essential for deciphering post-vaccination immune response.\nMETHODS: Three healthcare workers received 30 μg BNT162b2 mRNA Covid-19 Pfizer Vaccine, followed by a second identical dose, 21 days afterwards. Venous blood was drawn at baseline and at serial intervals, up to 63 days afterwards, for assessing total immunoglobulins (Ig) anti-RBD (receptor binding domain), anti-S1/S2 and anti-RBD IgG, anti-RBD and anti-N/S1 IgM, and anti-S1 IgA.\nRESULTS: All subjects were SARS-CoV-2 seronegative at baseline. Total Ig anti-RBD, anti-S1/S2 and anti-RBD IgG levels increased between 91 and 368 folds until 21 days after the first vaccine dose, then reached a plateau. The levels raised further after the second dose (by </w:instrText>
      </w:r>
      <w:r w:rsidR="004D01B9">
        <w:rPr>
          <w:rFonts w:ascii="Cambria Math" w:hAnsi="Cambria Math" w:cs="Cambria Math"/>
        </w:rPr>
        <w:instrText>∼</w:instrText>
      </w:r>
      <w:r w:rsidR="004D01B9">
        <w:rPr>
          <w:rFonts w:cstheme="minorHAnsi"/>
        </w:rPr>
        <w:instrText xml:space="preserve">30-, </w:instrText>
      </w:r>
      <w:r w:rsidR="004D01B9">
        <w:rPr>
          <w:rFonts w:ascii="Cambria Math" w:hAnsi="Cambria Math" w:cs="Cambria Math"/>
        </w:rPr>
        <w:instrText>∼</w:instrText>
      </w:r>
      <w:r w:rsidR="004D01B9">
        <w:rPr>
          <w:rFonts w:cstheme="minorHAnsi"/>
        </w:rPr>
        <w:instrText xml:space="preserve">8- and </w:instrText>
      </w:r>
      <w:r w:rsidR="004D01B9">
        <w:rPr>
          <w:rFonts w:ascii="Cambria Math" w:hAnsi="Cambria Math" w:cs="Cambria Math"/>
        </w:rPr>
        <w:instrText>∼</w:instrText>
      </w:r>
      <w:r w:rsidR="004D01B9">
        <w:rPr>
          <w:rFonts w:cstheme="minorHAnsi"/>
        </w:rPr>
        <w:instrText xml:space="preserve">8-fold, respectively), peaking at day 35, but then slightly declining and stabilizing </w:instrText>
      </w:r>
      <w:r w:rsidR="004D01B9">
        <w:rPr>
          <w:rFonts w:ascii="Cambria Math" w:hAnsi="Cambria Math" w:cs="Cambria Math"/>
        </w:rPr>
        <w:instrText>∼</w:instrText>
      </w:r>
      <w:r w:rsidR="004D01B9">
        <w:rPr>
          <w:rFonts w:cstheme="minorHAnsi"/>
        </w:rPr>
        <w:instrText>50</w:instrText>
      </w:r>
      <w:r w:rsidR="004D01B9">
        <w:rPr>
          <w:rFonts w:ascii="Calibri" w:hAnsi="Calibri" w:cs="Calibri"/>
        </w:rPr>
        <w:instrText> </w:instrText>
      </w:r>
      <w:r w:rsidR="004D01B9">
        <w:rPr>
          <w:rFonts w:cstheme="minorHAnsi"/>
        </w:rPr>
        <w:instrText>days after the first vaccine dose. Anti-S1 IgA levels increased between 7 and 11</w:instrText>
      </w:r>
      <w:r w:rsidR="004D01B9">
        <w:rPr>
          <w:rFonts w:ascii="Calibri" w:hAnsi="Calibri" w:cs="Calibri"/>
        </w:rPr>
        <w:instrText> </w:instrText>
      </w:r>
      <w:r w:rsidR="004D01B9">
        <w:rPr>
          <w:rFonts w:cstheme="minorHAnsi"/>
        </w:rPr>
        <w:instrText xml:space="preserve">days after the first dose, slightly declined before the second dose, after which levels augmented by </w:instrText>
      </w:r>
      <w:r w:rsidR="004D01B9">
        <w:rPr>
          <w:rFonts w:ascii="Cambria Math" w:hAnsi="Cambria Math" w:cs="Cambria Math"/>
        </w:rPr>
        <w:instrText>∼</w:instrText>
      </w:r>
      <w:r w:rsidR="004D01B9">
        <w:rPr>
          <w:rFonts w:cstheme="minorHAnsi"/>
        </w:rPr>
        <w:instrText xml:space="preserve">24-fold from baseline. The anti-RBD and anti-N/S1 IgM kinetics were similar to that of anti-S1 IgA, though displaying substantially weaker increases and modest peaks, only 4- to 7-fold higher than baseline. Highly significant inter-correlation was noted between total Ig anti-RBD, anti-S1/S2 and anti-RBD IgG (all r=0.99), whilst other anti-SARS-CoV-2 antibodies displayed lower, though still significant, correlations. Serum spike protein concentration was undetectable at all-time points.\nCONCLUSIONS: BNT162b2 mRNA vaccination generates a robust humoral immune response, especially involving anti-SARS-Cov-2 IgG and IgA, magnified by the second vaccine dose.","container-title":"Clinical Chemistry and Laboratory Medicine","DOI":"10.1515/cclm-2021-0339","ISSN":"1437-4331","issue":"9","journalAbbreviation":"Clin Chem Lab Med","language":"eng","note":"PMID: 33838087","page":"1585-1591","source":"PubMed","title":"Comprehensive assessment of humoral response after Pfizer BNT162b2 mRNA Covid-19 vaccination: a three-case series","title-short":"Comprehensive assessment of humoral response after Pfizer BNT162b2 mRNA Covid-19 vaccination","volume":"59","author":[{"family":"Danese","given":"Elisa"},{"family":"Montagnana","given":"Martina"},{"family":"Salvagno","given":"Gian Luca"},{"family":"Peserico","given":"Denise"},{"family":"Pighi","given":"Laura"},{"family":"De Nitto","given":"Simone"},{"family":"Henry","given":"Brandon M."},{"family":"Porru","given":"Stefano"},{"family":"Lippi","given":"Giuseppe"}],"issued":{"date-parts":[["2021",8,26]]}}}],"schema":"https://github.com/citation-style-language/schema/raw/master/csl-citation.json"} </w:instrText>
      </w:r>
      <w:r w:rsidR="00F84E13">
        <w:rPr>
          <w:rFonts w:cstheme="minorHAnsi"/>
        </w:rPr>
        <w:fldChar w:fldCharType="separate"/>
      </w:r>
      <w:r w:rsidR="004D01B9" w:rsidRPr="004D01B9">
        <w:rPr>
          <w:rFonts w:ascii="Calibri" w:hAnsi="Calibri" w:cs="Calibri"/>
        </w:rPr>
        <w:t>(27)</w:t>
      </w:r>
      <w:r w:rsidR="00F84E13">
        <w:rPr>
          <w:rFonts w:cstheme="minorHAnsi"/>
        </w:rPr>
        <w:fldChar w:fldCharType="end"/>
      </w:r>
      <w:r w:rsidR="003C3B63">
        <w:rPr>
          <w:rFonts w:cstheme="minorHAnsi"/>
        </w:rPr>
        <w:t>, existiendo un nivel de anti-</w:t>
      </w:r>
      <w:proofErr w:type="spellStart"/>
      <w:r w:rsidR="003C3B63">
        <w:rPr>
          <w:rFonts w:cstheme="minorHAnsi"/>
        </w:rPr>
        <w:t>Spike</w:t>
      </w:r>
      <w:proofErr w:type="spellEnd"/>
      <w:r w:rsidR="003C3B63">
        <w:rPr>
          <w:rFonts w:cstheme="minorHAnsi"/>
        </w:rPr>
        <w:t xml:space="preserve"> mayor de 210U/</w:t>
      </w:r>
      <w:proofErr w:type="spellStart"/>
      <w:r w:rsidR="003C3B63">
        <w:rPr>
          <w:rFonts w:cstheme="minorHAnsi"/>
        </w:rPr>
        <w:t>mL</w:t>
      </w:r>
      <w:proofErr w:type="spellEnd"/>
      <w:r w:rsidR="003C3B63">
        <w:rPr>
          <w:rFonts w:cstheme="minorHAnsi"/>
        </w:rPr>
        <w:t xml:space="preserve"> después de la tercera dosis de refuerzo </w:t>
      </w:r>
      <w:r w:rsidR="003C3B63">
        <w:rPr>
          <w:rFonts w:cstheme="minorHAnsi"/>
        </w:rPr>
        <w:fldChar w:fldCharType="begin"/>
      </w:r>
      <w:r w:rsidR="004D01B9">
        <w:rPr>
          <w:rFonts w:cstheme="minorHAnsi"/>
        </w:rPr>
        <w:instrText xml:space="preserve"> ADDIN ZOTERO_ITEM CSL_CITATION {"citationID":"3pd0UDya","properties":{"formattedCitation":"(28)","plainCitation":"(28)","noteIndex":0},"citationItems":[{"id":1180,"uris":["http://zotero.org/users/6047638/items/SXZGZQFL"],"itemData":{"id":1180,"type":"article-journal","abstract":"BACKGROUND: Health care workers (HCWs), a high-risk group for contracting COVID-19 disease, are being prioritized to receive COVID-19 vaccination. A third dose messenger RNA (mRNA) vaccine, mRNA-1273 (Moderna), after 2 doses of inactivated vaccine (CoronaVac), has been used to increase the level of protection against SARS-CoV-2 among Indonesian HCWs. However, data regarding antibody response after mRNA-1273 booster dose are limited.\nOBJECTIVE: To evaluate the receptor-binding domain (RBD) of the SARS-CoV-2 spike (S) protein (anti-S) titers induced by the third mRNA-1273 vaccine among fully vaccinated HCWs with CoronaVac.\nRESULTS: A total of 90 HCWs with no history of SARS-CoV-2 infection and who had received the third dose of vaccination were included in this study. The mRNA-1273 vaccine booster was administered 6 months after completing primary vaccination with CoronaVac. After the third dose, the anti-S antibodies level significantly increased, from a median of 41.7 U/mL (interquartile range [IQR], 22.4-92.5) to 28 394 U/mL (IQR, 20 837-41 646) (p &lt;0.0001). After the third dose, seropositivity with the anti-S antibodies level &gt;210 U/mL was observed in all HCWs. Age was negatively associated with the anti-S antibodies level after the mRNA-1273 booster.\nCONCLUSION: The heterologous prime booster with CoronaVac and mRNA-1273 vaccine booster elicit a pronounced antibody response against SARS-CoV-2 infection.","container-title":"International journal of infectious diseases: IJID: official publication of the International Society for Infectious Diseases","DOI":"10.1016/j.ijid.2022.02.036","ISSN":"1878-3511","journalAbbreviation":"Int J Infect Dis","language":"eng","note":"PMID: 35192955\nPMCID: PMC8857755","page":"116-118","source":"PubMed","title":"Antibody response after a third dose mRNA-1273 vaccine among vaccinated healthcare workers with two doses of inactivated SARS-CoV-2 vaccine","volume":"118","author":[{"family":"Cucunawangsih","given":"Cucunawangsih"},{"family":"Wijaya","given":"Ratna Sari"},{"family":"Lugito","given":"Nata Pratama Hardjo"},{"family":"Suriapranata","given":"Ivet"}],"issued":{"date-parts":[["2022",5]]}}}],"schema":"https://github.com/citation-style-language/schema/raw/master/csl-citation.json"} </w:instrText>
      </w:r>
      <w:r w:rsidR="003C3B63">
        <w:rPr>
          <w:rFonts w:cstheme="minorHAnsi"/>
        </w:rPr>
        <w:fldChar w:fldCharType="separate"/>
      </w:r>
      <w:r w:rsidR="004D01B9" w:rsidRPr="004D01B9">
        <w:rPr>
          <w:rFonts w:ascii="Calibri" w:hAnsi="Calibri" w:cs="Calibri"/>
        </w:rPr>
        <w:t>(28)</w:t>
      </w:r>
      <w:r w:rsidR="003C3B63">
        <w:rPr>
          <w:rFonts w:cstheme="minorHAnsi"/>
        </w:rPr>
        <w:fldChar w:fldCharType="end"/>
      </w:r>
      <w:r w:rsidR="003C3B63">
        <w:rPr>
          <w:rFonts w:cstheme="minorHAnsi"/>
        </w:rPr>
        <w:t xml:space="preserve">.  </w:t>
      </w:r>
      <w:commentRangeStart w:id="6"/>
      <w:r w:rsidR="007C168E">
        <w:rPr>
          <w:rFonts w:cstheme="minorHAnsi"/>
          <w:color w:val="FF0000"/>
        </w:rPr>
        <w:t xml:space="preserve">En el </w:t>
      </w:r>
      <w:proofErr w:type="spellStart"/>
      <w:r w:rsidR="007C168E">
        <w:rPr>
          <w:rFonts w:cstheme="minorHAnsi"/>
          <w:color w:val="FF0000"/>
        </w:rPr>
        <w:t>peru</w:t>
      </w:r>
      <w:proofErr w:type="spellEnd"/>
      <w:r w:rsidR="007C168E">
        <w:rPr>
          <w:rFonts w:cstheme="minorHAnsi"/>
          <w:color w:val="FF0000"/>
        </w:rPr>
        <w:t xml:space="preserve"> el esquema de vacunación que se </w:t>
      </w:r>
      <w:proofErr w:type="spellStart"/>
      <w:r w:rsidR="007C168E">
        <w:rPr>
          <w:rFonts w:cstheme="minorHAnsi"/>
          <w:color w:val="FF0000"/>
        </w:rPr>
        <w:t>contemplo</w:t>
      </w:r>
      <w:proofErr w:type="spellEnd"/>
      <w:r w:rsidR="007C168E">
        <w:rPr>
          <w:rFonts w:cstheme="minorHAnsi"/>
          <w:color w:val="FF0000"/>
        </w:rPr>
        <w:t xml:space="preserve"> para la población que fue objeto del presente estudio fue 2 dosis con </w:t>
      </w:r>
      <w:proofErr w:type="spellStart"/>
      <w:proofErr w:type="gramStart"/>
      <w:r w:rsidR="007C168E">
        <w:rPr>
          <w:rFonts w:cstheme="minorHAnsi"/>
          <w:color w:val="FF0000"/>
        </w:rPr>
        <w:t>sinopham</w:t>
      </w:r>
      <w:proofErr w:type="spellEnd"/>
      <w:r w:rsidR="007C168E">
        <w:rPr>
          <w:rFonts w:cstheme="minorHAnsi"/>
          <w:color w:val="FF0000"/>
        </w:rPr>
        <w:t xml:space="preserve">  (</w:t>
      </w:r>
      <w:proofErr w:type="gramEnd"/>
      <w:r w:rsidR="007C168E">
        <w:rPr>
          <w:rFonts w:cstheme="minorHAnsi"/>
          <w:color w:val="FF0000"/>
        </w:rPr>
        <w:t xml:space="preserve">virus vivo atenuado) y una dosis de </w:t>
      </w:r>
      <w:proofErr w:type="spellStart"/>
      <w:r w:rsidR="007C168E">
        <w:rPr>
          <w:rFonts w:cstheme="minorHAnsi"/>
          <w:color w:val="FF0000"/>
        </w:rPr>
        <w:t>refuerco</w:t>
      </w:r>
      <w:proofErr w:type="spellEnd"/>
      <w:r w:rsidR="007C168E">
        <w:rPr>
          <w:rFonts w:cstheme="minorHAnsi"/>
          <w:color w:val="FF0000"/>
        </w:rPr>
        <w:t xml:space="preserve"> con Pfizer. Es </w:t>
      </w:r>
      <w:proofErr w:type="spellStart"/>
      <w:r w:rsidR="007C168E">
        <w:rPr>
          <w:rFonts w:cstheme="minorHAnsi"/>
          <w:color w:val="FF0000"/>
        </w:rPr>
        <w:t>asi</w:t>
      </w:r>
      <w:proofErr w:type="spellEnd"/>
      <w:r w:rsidR="007C168E">
        <w:rPr>
          <w:rFonts w:cstheme="minorHAnsi"/>
          <w:color w:val="FF0000"/>
        </w:rPr>
        <w:t xml:space="preserve"> que </w:t>
      </w:r>
      <w:proofErr w:type="gramStart"/>
      <w:r w:rsidR="007C168E">
        <w:rPr>
          <w:rFonts w:cstheme="minorHAnsi"/>
          <w:color w:val="FF0000"/>
        </w:rPr>
        <w:t>encontramos  que</w:t>
      </w:r>
      <w:proofErr w:type="gramEnd"/>
      <w:r w:rsidR="007C168E">
        <w:rPr>
          <w:rFonts w:cstheme="minorHAnsi"/>
          <w:color w:val="FF0000"/>
        </w:rPr>
        <w:t xml:space="preserve"> para lo ….</w:t>
      </w:r>
      <w:commentRangeEnd w:id="6"/>
      <w:r w:rsidR="007C168E">
        <w:rPr>
          <w:rStyle w:val="Refdecomentario"/>
        </w:rPr>
        <w:commentReference w:id="6"/>
      </w:r>
    </w:p>
    <w:p w14:paraId="15700E72" w14:textId="4D3B639F" w:rsidR="00D32177" w:rsidRPr="002974BE" w:rsidRDefault="00D32177" w:rsidP="001D7F2E">
      <w:pPr>
        <w:jc w:val="both"/>
        <w:rPr>
          <w:rFonts w:cstheme="minorHAnsi"/>
        </w:rPr>
      </w:pPr>
      <w:r w:rsidRPr="002974BE">
        <w:rPr>
          <w:rFonts w:cstheme="minorHAnsi"/>
        </w:rPr>
        <w:t>En el mercado, existen diferentes métodos de detección de la respuesta frente a las vacunas. Pruebas como la “Neutralización por reducción en placa o PRNT” con mucha especificidad pero poco prácticas y con altos estándares de bioseguridad</w:t>
      </w:r>
      <w:r w:rsidR="001C2BBF">
        <w:rPr>
          <w:rFonts w:cstheme="minorHAnsi"/>
        </w:rPr>
        <w:t xml:space="preserve"> </w:t>
      </w:r>
      <w:r w:rsidR="001C2BBF">
        <w:rPr>
          <w:rFonts w:cstheme="minorHAnsi"/>
        </w:rPr>
        <w:fldChar w:fldCharType="begin"/>
      </w:r>
      <w:r w:rsidR="001C2BBF">
        <w:rPr>
          <w:rFonts w:cstheme="minorHAnsi"/>
        </w:rPr>
        <w:instrText xml:space="preserve"> ADDIN ZOTERO_ITEM CSL_CITATION {"citationID":"MsLyhOK4","properties":{"formattedCitation":"(15)","plainCitation":"(15)","noteIndex":0},"citationItems":[{"id":1110,"uris":["http://zotero.org/users/6047638/items/TQ4P3D3H"],"itemData":{"id":1110,"type":"article-journal","abstract":"Objective. To determine the titer of antibodies against the receptor binding domain (RBD) of the spike protein (S) in health personnel between the 4th and 12th week after receiving the BBIBP-CorV vaccine (Sinopharm). Materials and methods. We included a total of 168 healthcare workers from two hospitals in the region, who complied with the complete Sinopharm vaccine schedule; serum antibodies were measured using the Elecsys® Anti-SARS-CoV-2 test. Results. All participants developed antibodies to the RBD domain. The lowest antibody titer level was 1.78 U/mL. Levels equal to or above 250 were found in 70 (41.7%) participants. The geometric mean was 82.6 (95% CI: 67.8-100.6). Women had higher antibody levels. Participants whose antibodies were measured between 4- and 7-weeks post-vaccination showed significantly higher antibody levels than patients whose antibody levels were measured between 10- and 12-weeks post-vaccination. Among patients with a history of COVID-19, antibody levels were found to be at or above 250 U/mL in 88% of cases, compared to 6% among those without a history of COVID-19, (p&amp;lt;0.001). Conclusion. All participants immunized with BBIBPCorV vaccine were positive for antibodies against the SARS-CoV-2 spike protein RBD. The correlation between the titer level and protection against COVID-19, as well as the length of the protection provided by the vaccine, needs to be evaluated. © 2021, Instituto Nacional de Salud. All rights reserved.","archive":"Scopus","container-title":"Revista Peruana de Medicina Experimental y Salud Publica","DOI":"10.17843/rpmesp.2021.384.9244","ISSN":"1726-4634","issue":"4","language":"Spanish","page":"493-500","source":"Scopus","title":"EVALUATION OF THE HUMORAL RESPONSE INDUCED BY BBIBP-CorV VACCINE BY DETERMINING NEUTRALIZING ANTIBODIES IN PERUVIAN HEALTHCARE PERSONNEL","title-short":"EVALUACIÓN DE LA RESPUESTA HUMORAL INDUCIDA POR LA VACUNA BBIBP-CorV MEDIANTE LA DETERMINACIÓN DE ANTICUERPOS NEUTRALIZANTES EN PERSONAL SANITARIO PERUANO","volume":"38","author":[{"family":"Soto","given":"A."},{"family":"De Charca-Rodríguez","given":"F.M."},{"family":"Pareja-Medina","given":"M."},{"family":"Fernandez-Navarro","given":"M."},{"family":"Altamirano-Cáceres","given":"K."},{"family":"Chávez","given":"E.S."},{"family":"Raraz-Vidal","given":"J."},{"family":"Cabezudo-Pillpe","given":"N."},{"family":"Velarde-Rodríguez","given":"M."},{"family":"Alcántara-Díaz","given":"A."}],"issued":{"date-parts":[["2021"]]}}}],"schema":"https://github.com/citation-style-language/schema/raw/master/csl-citation.json"} </w:instrText>
      </w:r>
      <w:r w:rsidR="001C2BBF">
        <w:rPr>
          <w:rFonts w:cstheme="minorHAnsi"/>
        </w:rPr>
        <w:fldChar w:fldCharType="separate"/>
      </w:r>
      <w:r w:rsidR="001C2BBF" w:rsidRPr="001C2BBF">
        <w:rPr>
          <w:rFonts w:ascii="Calibri" w:hAnsi="Calibri" w:cs="Calibri"/>
        </w:rPr>
        <w:t>(15)</w:t>
      </w:r>
      <w:r w:rsidR="001C2BBF">
        <w:rPr>
          <w:rFonts w:cstheme="minorHAnsi"/>
        </w:rPr>
        <w:fldChar w:fldCharType="end"/>
      </w:r>
      <w:r w:rsidRPr="002974BE">
        <w:rPr>
          <w:rFonts w:cstheme="minorHAnsi"/>
        </w:rPr>
        <w:t>. Por otro lado, existen pruebas serológicas como</w:t>
      </w:r>
      <w:r w:rsidR="006C1E2A" w:rsidRPr="002974BE">
        <w:rPr>
          <w:rFonts w:cstheme="minorHAnsi"/>
        </w:rPr>
        <w:t xml:space="preserve"> </w:t>
      </w:r>
      <w:r w:rsidRPr="002974BE">
        <w:rPr>
          <w:rFonts w:cstheme="minorHAnsi"/>
        </w:rPr>
        <w:t>la “</w:t>
      </w:r>
      <w:proofErr w:type="spellStart"/>
      <w:r w:rsidRPr="002974BE">
        <w:rPr>
          <w:rFonts w:cstheme="minorHAnsi"/>
        </w:rPr>
        <w:t>inmunocromatografía</w:t>
      </w:r>
      <w:proofErr w:type="spellEnd"/>
      <w:r w:rsidRPr="002974BE">
        <w:rPr>
          <w:rFonts w:cstheme="minorHAnsi"/>
        </w:rPr>
        <w:t>”</w:t>
      </w:r>
      <w:r w:rsidR="006A0798" w:rsidRPr="002974BE">
        <w:rPr>
          <w:rFonts w:cstheme="minorHAnsi"/>
        </w:rPr>
        <w:t xml:space="preserve"> que fueron muy utilizados al inicio de la pandemia</w:t>
      </w:r>
      <w:r w:rsidR="003C3B63">
        <w:rPr>
          <w:rFonts w:cstheme="minorHAnsi"/>
        </w:rPr>
        <w:t xml:space="preserve">, siendo </w:t>
      </w:r>
      <w:r w:rsidR="00094D03" w:rsidRPr="002974BE">
        <w:rPr>
          <w:rFonts w:cstheme="minorHAnsi"/>
        </w:rPr>
        <w:t xml:space="preserve">una prueba de costo bajo, práctica y de una respuesta rápida, teniendo como desventaja el ser cualitativa </w:t>
      </w:r>
      <w:r w:rsidR="00094D03" w:rsidRPr="002974BE">
        <w:rPr>
          <w:rFonts w:cstheme="minorHAnsi"/>
        </w:rPr>
        <w:fldChar w:fldCharType="begin"/>
      </w:r>
      <w:r w:rsidR="004D01B9">
        <w:rPr>
          <w:rFonts w:cstheme="minorHAnsi"/>
        </w:rPr>
        <w:instrText xml:space="preserve"> ADDIN ZOTERO_ITEM CSL_CITATION {"citationID":"RJmi0JPv","properties":{"formattedCitation":"(29)","plainCitation":"(29)","noteIndex":0},"citationItems":[{"id":1161,"uris":["http://zotero.org/users/6047638/items/RX7FDCZR"],"itemData":{"id":1161,"type":"article-journal","abstract":"OBJECTIVE: Serological tests have been a valuable tool during the SARS-CoV-2 pandemic, supporting molecular methods for detection, and monitoring the immune response, caused by vaccination or by natural infection. Within all these techniques, rapid tests are interesting due to their ease of use, rapid response and low cost.\nMETHODS: Two different immunological techniques were evaluated: Realy Tech and Mikrogen Diagnostik recomLine SARS-CoV-2 IgG. SARS-CoV-2 IgG II Quant antibody test and SARS-CoV-IgG assay, both from Abbott Diagnostics, were used as reference techniques.\nRESULTS: Mikrogen Diagnostik recomLine SARS-CoV-2 IgG shows the best results (S=0.985; E=0.839). Three techniques offered good positive predictive values, but Realy Tech and Healgen negative predictive values left to be desired.\nCONCLUSIONS: Mikrogen Diagnostik recomLine SARS-CoV-2 IgG showed good results in the detection of antibodies against SARS-CoV-2 and could be used as an alternative to automated techniques.","container-title":"Revista Espanola De Quimioterapia: Publicacion Oficial De La Sociedad Espanola De Quimioterapia","DOI":"10.37201/req/019.2022","ISSN":"1988-9518","issue":"6","journalAbbreviation":"Rev Esp Quimioter","language":"spa","note":"PMID: 36164855\nPMCID: PMC9728603","page":"538-543","source":"PubMed","title":"Evaluation of two immunocromatographic tests for the detection of antibodies against SARS-CoV-2","volume":"35","author":[{"family":"Medrano","given":"S."},{"family":"Martínez-Rodríguez","given":"M."},{"family":"Vallejo","given":"L."},{"family":"Culebras","given":"E."},{"family":"Delgado-Iribarren","given":"A."}],"issued":{"date-parts":[["2022",12]]}}}],"schema":"https://github.com/citation-style-language/schema/raw/master/csl-citation.json"} </w:instrText>
      </w:r>
      <w:r w:rsidR="00094D03" w:rsidRPr="002974BE">
        <w:rPr>
          <w:rFonts w:cstheme="minorHAnsi"/>
        </w:rPr>
        <w:fldChar w:fldCharType="separate"/>
      </w:r>
      <w:r w:rsidR="004D01B9" w:rsidRPr="004D01B9">
        <w:rPr>
          <w:rFonts w:ascii="Calibri" w:hAnsi="Calibri" w:cs="Calibri"/>
        </w:rPr>
        <w:t>(29)</w:t>
      </w:r>
      <w:r w:rsidR="00094D03" w:rsidRPr="002974BE">
        <w:rPr>
          <w:rFonts w:cstheme="minorHAnsi"/>
        </w:rPr>
        <w:fldChar w:fldCharType="end"/>
      </w:r>
      <w:r w:rsidR="003C3B63">
        <w:rPr>
          <w:rFonts w:cstheme="minorHAnsi"/>
        </w:rPr>
        <w:t xml:space="preserve">. Por otra parte, </w:t>
      </w:r>
      <w:r w:rsidR="00970308">
        <w:rPr>
          <w:rFonts w:cstheme="minorHAnsi"/>
        </w:rPr>
        <w:t>se cuenta con los inmunoensayos como el ELISA</w:t>
      </w:r>
      <w:r w:rsidR="00760A99" w:rsidRPr="002974BE">
        <w:rPr>
          <w:rFonts w:cstheme="minorHAnsi"/>
        </w:rPr>
        <w:t xml:space="preserve"> </w:t>
      </w:r>
      <w:r w:rsidR="00970308">
        <w:rPr>
          <w:rFonts w:cstheme="minorHAnsi"/>
        </w:rPr>
        <w:t xml:space="preserve"> o la </w:t>
      </w:r>
      <w:r w:rsidR="00970308">
        <w:rPr>
          <w:rFonts w:cstheme="minorHAnsi"/>
        </w:rPr>
        <w:lastRenderedPageBreak/>
        <w:t>quimioluminiscencia (CLIA) que miden el nivel de anticuerpos SARS-CoV-2</w:t>
      </w:r>
      <w:r w:rsidR="00846813">
        <w:rPr>
          <w:rFonts w:cstheme="minorHAnsi"/>
        </w:rPr>
        <w:t xml:space="preserve"> </w:t>
      </w:r>
      <w:r w:rsidR="009D3EDA">
        <w:rPr>
          <w:rFonts w:cstheme="minorHAnsi"/>
        </w:rPr>
        <w:fldChar w:fldCharType="begin"/>
      </w:r>
      <w:r w:rsidR="004D01B9">
        <w:rPr>
          <w:rFonts w:cstheme="minorHAnsi"/>
        </w:rPr>
        <w:instrText xml:space="preserve"> ADDIN ZOTERO_ITEM CSL_CITATION {"citationID":"BFUylwDW","properties":{"formattedCitation":"(30,31)","plainCitation":"(30,31)","noteIndex":0},"citationItems":[{"id":1147,"uris":["http://zotero.org/users/6047638/items/DRM5S4RK"],"itemData":{"id":1147,"type":"thesis","abstract":"La pandemia ocasionada por la COVID-19 durante estos dos últimos años ha afectado a todas las personas a nivel mundial. Por tal motivo, las grandes farmacéuticas desarrollaron en tiempo récord múltiples vacunas para generar inmunidad contra el virus. La glicoproteína llamada espiga o Spike (S), ha sido el objetivo principal al momento de desarrollar las vacunas para generar anticuerpos anti-Spike neutralizantes tras la vacunación. Sin embargo, la mayoría de las personas no saben qué tan eficaces son estas vacunas; por lo que el objetivo de este documento bibliográfico es analizar el nivel de efectividad y el tiempo de duración de los anticuerpos anti-Spike neutralizantes generados tras la vacunación contra la COVID-19. La metodología que se empleó en la presente investigación fue cualitativa, exploratoria y documental, mediante el uso de distintas plataformas como: Nature, PubMed e IntraMed. Los resultados a partir de los artículos principales analizados indicaron que todas las vacunas investigadas brindan un porcentaje mayor a 50% de anticuerpos anti-Spike contra la infección y el tiempo de duración es de 250 días con un porcentaje alto en las vacunas basadas en ARNm, mientras que las otras vacunas tienen anticuerpos neutralizantes después de este tiempo, pero en un bajo porcentaje. El ensayo serológico más empleado para la detección de niveles de títulos de anticuerpos anti-Spike es el ELISA. Se concluye que todas las vacunas son efectivas contra la COVID-19 con un alto porcentaje generado de anticuerpos neutralizantes, los cuales evitan que la persona adquiera una infección grave y reducen la morbimortalidad en un gran porcentaje.","genre":"bachelorThesis","language":"spa","license":"http://creativecommons.org/licenses/by-nc-sa/3.0/ec/","note":"Accepted: 2022-06-23T13:36:53Z","publisher":"Quito : UCE","source":"www.dspace.uce.edu.ec","title":"Análisis de la efectividad de los anticuerpos Anti-Spike neutralizantes de las vacunas contra la COVID-19.","URL":"http://www.dspace.uce.edu.ec/handle/25000/26793","author":[{"family":"Carrera Fernández","given":"Dayana Elizabeth"}],"accessed":{"date-parts":[["2023",4,24]]},"issued":{"date-parts":[["2022"]]}}},{"id":1183,"uris":["http://zotero.org/users/6047638/items/82XH8QCT"],"itemData":{"id":1183,"type":"article-journal","abstract":"OBJECTIVE: The longevity of vaccine effectiveness and antibody titer after the Moderna mRNA COVID-19 vaccination booster in healthcare workers in Indonesia is not known.\nMATERIALS AND METHODS: We performed a prospective observational study of healthcare workers at the Universitas Indonesia Hospital after Moderna mRNA COVID-19 booster vaccination. An Immunology Analyzer with Chemiluminescence Immunoassay (CLIA) test was used to examine Anti SARS-CoV-2 S-RBD levels. Antibody levels were classified into two systems (3 categories, and 2 categories).\nRESULTS: There were 31 male subjects (75.6%), 33 subjects (80.5%) aged 25-39 years, 17 subjects (41.5%) with overweight BMI, 35 subjects (85.4%) without comorbidities, and 29 subjects without previous history of COVID-19 infection (70.7%) who had antibody titer &gt;1000 AU/ml. There were 27 subjects (65.9%) who had a booster shot ≥6 months after the second vaccination with antibody titer &gt;1000 AU/ml. In this study, there was no significant correlation between antibody titer with factors such as gender, age, BMI, comorbidities, history of COVID-19 infection and time between the 2nd vaccination and booster vaccination.\nCONCLUSION: There is no significant correlation between antibody titer with factors such as gender, age, BMI, comorbidities, history of COVID-19 infection and time between the 2nd vaccination and booster vaccination.","container-title":"Acta Medica Academica","DOI":"10.5644/ama2006-124.374","ISSN":"1840-2879","issue":"2","journalAbbreviation":"Acta Med Acad","language":"eng","note":"PMID: 36317998\nPMCID: PMC9982858","page":"69-78","source":"PubMed","title":"Evaluation of SARS-CoV-2 Antibody Response Post Third Dose COVID-19 mRNA Vaccination at Universitas Indonesia Hospital","volume":"51","author":[{"family":"Hidayat","given":"Rakhmad"},{"family":"Mustika","given":"Alyssa Putri"},{"family":"Avisha","given":"Fhathia"},{"family":"Djuliannisaa","given":"Zlatikha"},{"family":"Winari","given":"Dinisa Diah"},{"family":"Putri","given":"Ria Amiliah"},{"family":"Lisman","given":"Heydi Marizky"},{"family":"Davin","given":"Vandra"},{"family":"Fathi","given":"Gemia Clarisa"},{"family":"Widhani","given":"Alvina"},{"family":"Aini","given":"Muhammad Hafiz"},{"family":"Yudhistira","given":"Yudhistira"},{"family":"Azizah","given":"Siti"},{"family":"Rahmadani","given":"Meilisa"},{"family":"Istanti","given":"Novita Dwi"},{"family":"Giantini","given":"Astuti"}],"issued":{"date-parts":[["2022",8]]}}}],"schema":"https://github.com/citation-style-language/schema/raw/master/csl-citation.json"} </w:instrText>
      </w:r>
      <w:r w:rsidR="009D3EDA">
        <w:rPr>
          <w:rFonts w:cstheme="minorHAnsi"/>
        </w:rPr>
        <w:fldChar w:fldCharType="separate"/>
      </w:r>
      <w:r w:rsidR="004D01B9" w:rsidRPr="004D01B9">
        <w:rPr>
          <w:rFonts w:ascii="Calibri" w:hAnsi="Calibri" w:cs="Calibri"/>
        </w:rPr>
        <w:t>(30,31)</w:t>
      </w:r>
      <w:r w:rsidR="009D3EDA">
        <w:rPr>
          <w:rFonts w:cstheme="minorHAnsi"/>
        </w:rPr>
        <w:fldChar w:fldCharType="end"/>
      </w:r>
      <w:r w:rsidR="00AB1B8E">
        <w:rPr>
          <w:rFonts w:cstheme="minorHAnsi"/>
        </w:rPr>
        <w:t xml:space="preserve">, pero </w:t>
      </w:r>
      <w:r w:rsidR="00760A99">
        <w:rPr>
          <w:rFonts w:cstheme="minorHAnsi"/>
        </w:rPr>
        <w:t xml:space="preserve">cada reacción </w:t>
      </w:r>
      <w:r w:rsidR="00AB1B8E">
        <w:rPr>
          <w:rFonts w:cstheme="minorHAnsi"/>
        </w:rPr>
        <w:t>de</w:t>
      </w:r>
      <w:r w:rsidR="00760A99">
        <w:rPr>
          <w:rFonts w:cstheme="minorHAnsi"/>
        </w:rPr>
        <w:t>be ser</w:t>
      </w:r>
      <w:r w:rsidR="00AB1B8E">
        <w:rPr>
          <w:rFonts w:cstheme="minorHAnsi"/>
        </w:rPr>
        <w:t xml:space="preserve"> manera unitaria </w:t>
      </w:r>
      <w:r w:rsidR="00760A99">
        <w:rPr>
          <w:rFonts w:cstheme="minorHAnsi"/>
        </w:rPr>
        <w:t>para cada</w:t>
      </w:r>
      <w:r w:rsidR="00AB1B8E">
        <w:rPr>
          <w:rFonts w:cstheme="minorHAnsi"/>
        </w:rPr>
        <w:t xml:space="preserve"> isotipo y el tipo de proteína viral, a diferencia de la </w:t>
      </w:r>
      <w:proofErr w:type="spellStart"/>
      <w:r w:rsidR="00AB1B8E">
        <w:rPr>
          <w:rFonts w:cstheme="minorHAnsi"/>
        </w:rPr>
        <w:t>Citometria</w:t>
      </w:r>
      <w:proofErr w:type="spellEnd"/>
      <w:r w:rsidR="00AB1B8E">
        <w:rPr>
          <w:rFonts w:cstheme="minorHAnsi"/>
        </w:rPr>
        <w:t xml:space="preserve"> de flujo que lo miden de forma paralela</w:t>
      </w:r>
      <w:r w:rsidR="00760A99">
        <w:rPr>
          <w:rFonts w:cstheme="minorHAnsi"/>
        </w:rPr>
        <w:t xml:space="preserve"> </w:t>
      </w:r>
      <w:r w:rsidR="00760A99">
        <w:rPr>
          <w:rFonts w:cstheme="minorHAnsi"/>
        </w:rPr>
        <w:fldChar w:fldCharType="begin"/>
      </w:r>
      <w:r w:rsidR="004D01B9">
        <w:rPr>
          <w:rFonts w:cstheme="minorHAnsi"/>
        </w:rPr>
        <w:instrText xml:space="preserve"> ADDIN ZOTERO_ITEM CSL_CITATION {"citationID":"X880IlYo","properties":{"formattedCitation":"(32)","plainCitation":"(32)","noteIndex":0},"citationItems":[{"id":1186,"uris":["http://zotero.org/users/6047638/items/KJ6XBV7V"],"itemData":{"id":1186,"type":"article-journal","abstract":"At small food processing facilities, the most frequently used test to determine if grain-derived mycotoxin concentrations are compliant with legal limits is the enzyme-linked immunosorbent assay (ELISA). Each kit is designed to detect one of the six dangerous mycotoxins. With the increasing occurrence of coinfection of grain with multiple-mycotoxins in the field and/or during storage, ELISA is no longer a cost effective best assay option. With ELISA, each species of mycotoxin requires different sample preparation/extraction and a 45 min incubation. The alternative multiplexed assay presented here, the competitive fluorescent microsphere immunoassay (CFIA), follows current food safety standards. It handles several toxins simultaneously with a single universal extraction protocol. The authors' objective was to modify an existing commercial CFIA kit developed for bench top flow cytometry and extend its utility for point-of-need (PON) applications. The accelerated protocol offers over 60% reduction in total processing time and it detects dual mycotoxin contamination simultaneously. The observed enhanced binding kinetics equations reported here utilizing suspended solid phase particles in liquid phase, are also supported by published theoretical calculations. In the near future portable cytometry may bring rapid multiplexed PON testing to assure the safety of small food processing installations. © 2016 International Society for Advancement of Cytometry.","container-title":"Cytometry. Part A: The Journal of the International Society for Analytical Cytology","DOI":"10.1002/cyto.a.23018","ISSN":"1552-4930","issue":"2","journalAbbreviation":"Cytometry A","language":"eng","note":"PMID: 28222253","page":"190-196","source":"PubMed","title":"Flow cytometry based rapid duplexed immunoassay for fusarium mycotoxins","volume":"91","author":[{"family":"Czéh","given":"Árpád"},{"family":"Mézes","given":"Miklós"},{"family":"Mandy","given":"Francis"},{"family":"Szőke","given":"Zsuzsanna"},{"family":"Nagyéri","given":"György"},{"family":"Laufer","given":"Noémi"},{"family":"Kőszegi","given":"Balázs"},{"family":"Koczka","given":"Tamás"},{"family":"Kunsági-Máté","given":"Sándor"},{"family":"Lustyik","given":"György"}],"issued":{"date-parts":[["2017",2]]}}}],"schema":"https://github.com/citation-style-language/schema/raw/master/csl-citation.json"} </w:instrText>
      </w:r>
      <w:r w:rsidR="00760A99">
        <w:rPr>
          <w:rFonts w:cstheme="minorHAnsi"/>
        </w:rPr>
        <w:fldChar w:fldCharType="separate"/>
      </w:r>
      <w:r w:rsidR="004D01B9" w:rsidRPr="004D01B9">
        <w:rPr>
          <w:rFonts w:ascii="Calibri" w:hAnsi="Calibri" w:cs="Calibri"/>
        </w:rPr>
        <w:t>(32)</w:t>
      </w:r>
      <w:r w:rsidR="00760A99">
        <w:rPr>
          <w:rFonts w:cstheme="minorHAnsi"/>
        </w:rPr>
        <w:fldChar w:fldCharType="end"/>
      </w:r>
      <w:r w:rsidR="00753164">
        <w:rPr>
          <w:rFonts w:cstheme="minorHAnsi"/>
        </w:rPr>
        <w:t xml:space="preserve"> </w:t>
      </w:r>
      <w:r w:rsidR="00753164">
        <w:rPr>
          <w:rFonts w:cstheme="minorHAnsi"/>
          <w:color w:val="FF0000"/>
        </w:rPr>
        <w:t xml:space="preserve">la cual nos </w:t>
      </w:r>
      <w:proofErr w:type="spellStart"/>
      <w:r w:rsidR="00753164">
        <w:rPr>
          <w:rFonts w:cstheme="minorHAnsi"/>
          <w:color w:val="FF0000"/>
        </w:rPr>
        <w:t>permitio</w:t>
      </w:r>
      <w:proofErr w:type="spellEnd"/>
      <w:r w:rsidR="00753164">
        <w:rPr>
          <w:rFonts w:cstheme="minorHAnsi"/>
          <w:color w:val="FF0000"/>
        </w:rPr>
        <w:t xml:space="preserve"> evaluar cuatro isotipos de </w:t>
      </w:r>
      <w:proofErr w:type="spellStart"/>
      <w:r w:rsidR="00753164">
        <w:rPr>
          <w:rFonts w:cstheme="minorHAnsi"/>
          <w:color w:val="FF0000"/>
        </w:rPr>
        <w:t>anticuapos</w:t>
      </w:r>
      <w:proofErr w:type="spellEnd"/>
      <w:r w:rsidR="00753164">
        <w:rPr>
          <w:rFonts w:cstheme="minorHAnsi"/>
          <w:color w:val="FF0000"/>
        </w:rPr>
        <w:t xml:space="preserve"> contra cuatro antígenos en una sola reacción</w:t>
      </w:r>
      <w:r w:rsidR="003C3B63">
        <w:rPr>
          <w:rFonts w:cstheme="minorHAnsi"/>
        </w:rPr>
        <w:t xml:space="preserve"> </w:t>
      </w:r>
      <w:r w:rsidR="00753164">
        <w:rPr>
          <w:rFonts w:cstheme="minorHAnsi"/>
        </w:rPr>
        <w:t>.</w:t>
      </w:r>
    </w:p>
    <w:p w14:paraId="34C74040" w14:textId="41C3FABB" w:rsidR="00BE539D" w:rsidRPr="00753164" w:rsidRDefault="00F23B2E" w:rsidP="001D7F2E">
      <w:pPr>
        <w:jc w:val="both"/>
        <w:rPr>
          <w:rFonts w:cstheme="minorHAnsi"/>
          <w:color w:val="FF0000"/>
          <w:shd w:val="clear" w:color="auto" w:fill="FFFFFF"/>
        </w:rPr>
      </w:pPr>
      <w:r w:rsidRPr="002974BE">
        <w:rPr>
          <w:rFonts w:cstheme="minorHAnsi"/>
        </w:rPr>
        <w:t>En general, varios estudios reconocieron la utilidad de los anticuerpos neutralizantes como prevención de infección</w:t>
      </w:r>
      <w:r w:rsidR="00B41965" w:rsidRPr="002974BE">
        <w:rPr>
          <w:rFonts w:cstheme="minorHAnsi"/>
        </w:rPr>
        <w:t xml:space="preserve"> y el uso de la </w:t>
      </w:r>
      <w:proofErr w:type="spellStart"/>
      <w:r w:rsidR="00B41965" w:rsidRPr="002974BE">
        <w:rPr>
          <w:rFonts w:cstheme="minorHAnsi"/>
        </w:rPr>
        <w:t>citometria</w:t>
      </w:r>
      <w:proofErr w:type="spellEnd"/>
      <w:r w:rsidR="00B41965" w:rsidRPr="002974BE">
        <w:rPr>
          <w:rFonts w:cstheme="minorHAnsi"/>
        </w:rPr>
        <w:t xml:space="preserve"> de flujo como una plataforma confiable</w:t>
      </w:r>
      <w:r w:rsidR="001C2BBF">
        <w:rPr>
          <w:rFonts w:cstheme="minorHAnsi"/>
        </w:rPr>
        <w:t xml:space="preserve"> </w:t>
      </w:r>
      <w:r w:rsidRPr="002974BE">
        <w:rPr>
          <w:rFonts w:cstheme="minorHAnsi"/>
        </w:rPr>
        <w:fldChar w:fldCharType="begin"/>
      </w:r>
      <w:r w:rsidR="004D01B9">
        <w:rPr>
          <w:rFonts w:cstheme="minorHAnsi"/>
        </w:rPr>
        <w:instrText xml:space="preserve"> ADDIN ZOTERO_ITEM CSL_CITATION {"citationID":"B1tmw5t3","properties":{"formattedCitation":"(33)","plainCitation":"(33)","noteIndex":0},"citationItems":[{"id":1136,"uris":["http://zotero.org/users/6047638/items/E8HLGEXN"],"itemData":{"id":1136,"type":"article-journal","abstract":"IntroductionNeutralizing antibodies (NAbs) have been recognized as surrogates of protection against SARS-CoV-2; however, the emergence of variants/subvariants escaping neutralization suggests that laboratory assessments of NAbs against the ancestral/wild type (WT) antigens likely overestimate the degree of protection.MethodsA novel flow cytometry-based multiplex test system was developed for the simultaneous detection of NAbs of multiple SARS-CoV-2 variants. SARS-CoV-2 antibodies (Abs) including IgG, IgM, IgA isotypes were measured in the same system. Samples from negative, convalesced, vaccinated, boosted, and breakthrough infection (BTI) populations were tested for both NAbs and Abs.ResultsNAbs induced by WT showed neutralization activity that correlated strongly to all variants (R2 &gt; 0.85) except omicron BA.1/BA.2 (R2 &lt;0.50). Two doses of vaccine elicited very little protective immunity against BA.1/BA.2, though a booster dose significantly improved NAbs for all variants. NAbs/Abs increased more following BTI than after a booster, suggesting that hybrid immunity (vaccination + natural immunity) was more robust to all variants including BA.1/BA.2. BTIs occurring in the omicron era led to stronger NAb responses against BA.1/BA.2 than did older BTIs. In all comparisons, the RBD antigens demonstrated greater differences between WT and BA.1/BA.2 than the spike antigens.DiscussionTaken together, we demonstrated that both Ab and NAb against multiple SARS-CoV-2 variants/subvariants can be reliably detected on the same multiplex platform. Distinguishing NAbs to the appropriate antigenic target of prevalent variants offers the best correlate of protection and aids individual decisions about the appropriateness and cadence of vaccine boosters and other exposure mitigation strategies.","container-title":"Frontiers in Immunology","ISSN":"1664-3224","source":"Frontiers","title":"Simultaneous measurement of multiple variant-specific SARS-CoV-2 neutralizing antibodies with a multiplexed flow cytometric assay","URL":"https://www.frontiersin.org/articles/10.3389/fimmu.2022.1039163","volume":"13","author":[{"family":"Liu","given":"Hong"},{"family":"Varvel","given":"Stephen"},{"family":"Chen","given":"Ge"},{"family":"McConnell","given":"Joseph"},{"family":"Caffrey","given":"Rebecca"},{"family":"Galdzicka","given":"Marzena"},{"family":"Shabahang","given":"Shahrokh"}],"accessed":{"date-parts":[["2023",4,14]]},"issued":{"date-parts":[["2022"]]}}}],"schema":"https://github.com/citation-style-language/schema/raw/master/csl-citation.json"} </w:instrText>
      </w:r>
      <w:r w:rsidRPr="002974BE">
        <w:rPr>
          <w:rFonts w:cstheme="minorHAnsi"/>
        </w:rPr>
        <w:fldChar w:fldCharType="separate"/>
      </w:r>
      <w:r w:rsidR="004D01B9" w:rsidRPr="004D01B9">
        <w:rPr>
          <w:rFonts w:ascii="Calibri" w:hAnsi="Calibri" w:cs="Calibri"/>
        </w:rPr>
        <w:t>(33)</w:t>
      </w:r>
      <w:r w:rsidRPr="002974BE">
        <w:rPr>
          <w:rFonts w:cstheme="minorHAnsi"/>
        </w:rPr>
        <w:fldChar w:fldCharType="end"/>
      </w:r>
      <w:r w:rsidR="00B41965" w:rsidRPr="002974BE">
        <w:rPr>
          <w:rFonts w:cstheme="minorHAnsi"/>
        </w:rPr>
        <w:t xml:space="preserve">. </w:t>
      </w:r>
      <w:r w:rsidR="00753164">
        <w:rPr>
          <w:rFonts w:cstheme="minorHAnsi"/>
        </w:rPr>
        <w:t xml:space="preserve"> Un estudio </w:t>
      </w:r>
      <w:proofErr w:type="spellStart"/>
      <w:r w:rsidR="00753164">
        <w:rPr>
          <w:rFonts w:cstheme="minorHAnsi"/>
        </w:rPr>
        <w:t>reslizado</w:t>
      </w:r>
      <w:proofErr w:type="spellEnd"/>
      <w:r w:rsidR="00753164">
        <w:rPr>
          <w:rFonts w:cstheme="minorHAnsi"/>
        </w:rPr>
        <w:t xml:space="preserve"> en Salamanc</w:t>
      </w:r>
      <w:r w:rsidR="00BE539D" w:rsidRPr="002974BE">
        <w:rPr>
          <w:rFonts w:cstheme="minorHAnsi"/>
        </w:rPr>
        <w:t xml:space="preserve">a </w:t>
      </w:r>
      <w:r w:rsidR="00BE539D" w:rsidRPr="002974BE">
        <w:rPr>
          <w:rFonts w:cstheme="minorHAnsi"/>
          <w:color w:val="000000"/>
          <w:shd w:val="clear" w:color="auto" w:fill="FFFFFF"/>
        </w:rPr>
        <w:t xml:space="preserve">ha conseguido identificar tres tipos de anticuerpos diferentes (IgG, IgA, IgM) y cuatro proteínas del virus SARS-CoV-2 al mismo tiempo: la proteína </w:t>
      </w:r>
      <w:proofErr w:type="spellStart"/>
      <w:r w:rsidR="00BE539D" w:rsidRPr="002974BE">
        <w:rPr>
          <w:rFonts w:cstheme="minorHAnsi"/>
          <w:color w:val="000000"/>
          <w:shd w:val="clear" w:color="auto" w:fill="FFFFFF"/>
        </w:rPr>
        <w:t>Spike</w:t>
      </w:r>
      <w:proofErr w:type="spellEnd"/>
      <w:r w:rsidR="00BE539D" w:rsidRPr="002974BE">
        <w:rPr>
          <w:rFonts w:cstheme="minorHAnsi"/>
          <w:color w:val="000000"/>
          <w:shd w:val="clear" w:color="auto" w:fill="FFFFFF"/>
        </w:rPr>
        <w:t xml:space="preserve"> y su dominio RBD, dos proteínas muy importantes por ser el componente principal de las vacunas actuales, así como la proteína de la envoltura o nucleocápside (NP) y la proteasa responsable de la replicación del virus (</w:t>
      </w:r>
      <w:proofErr w:type="spellStart"/>
      <w:r w:rsidR="00BE539D" w:rsidRPr="002974BE">
        <w:rPr>
          <w:rFonts w:cstheme="minorHAnsi"/>
          <w:color w:val="000000"/>
          <w:shd w:val="clear" w:color="auto" w:fill="FFFFFF"/>
        </w:rPr>
        <w:t>Mpro</w:t>
      </w:r>
      <w:proofErr w:type="spellEnd"/>
      <w:r w:rsidR="00BE539D" w:rsidRPr="002974BE">
        <w:rPr>
          <w:rFonts w:cstheme="minorHAnsi"/>
          <w:color w:val="000000"/>
          <w:shd w:val="clear" w:color="auto" w:fill="FFFFFF"/>
        </w:rPr>
        <w:t xml:space="preserve">/3CLpro) </w:t>
      </w:r>
      <w:r w:rsidR="00BE539D" w:rsidRPr="002974BE">
        <w:rPr>
          <w:rFonts w:cstheme="minorHAnsi"/>
          <w:color w:val="000000"/>
          <w:shd w:val="clear" w:color="auto" w:fill="FFFFFF"/>
        </w:rPr>
        <w:fldChar w:fldCharType="begin"/>
      </w:r>
      <w:r w:rsidR="004D01B9">
        <w:rPr>
          <w:rFonts w:cstheme="minorHAnsi"/>
          <w:color w:val="000000"/>
          <w:shd w:val="clear" w:color="auto" w:fill="FFFFFF"/>
        </w:rPr>
        <w:instrText xml:space="preserve"> ADDIN ZOTERO_ITEM CSL_CITATION {"citationID":"XRSB49NZ","properties":{"formattedCitation":"(34)","plainCitation":"(34)","noteIndex":0},"citationItems":[{"id":1145,"uris":["http://zotero.org/users/6047638/items/6AWJZ6E6"],"itemData":{"id":1145,"type":"post-weblog","abstract":"Un nuevo test de anticuerpos detecta, con una sola muestra de sangre y con una fiabilidad de más del 99%, 3 tipos de anticuerpos y 4 proteínas del virus.","container-title":"Gaceta Médica","language":"es","note":"section: Investigación","title":"Un test diferencia personas vacunadas de las que han padecido COVID","URL":"https://gacetamedica.com/investigacion/un-test-diferencia-a-las-personas-vacunadas-de-las-que-han-padecido-covid-19/","author":[{"family":"Médica","given":"Gaceta"}],"accessed":{"date-parts":[["2023",4,17]]},"issued":{"date-parts":[["2021",5,12]]}}}],"schema":"https://github.com/citation-style-language/schema/raw/master/csl-citation.json"} </w:instrText>
      </w:r>
      <w:r w:rsidR="00BE539D" w:rsidRPr="002974BE">
        <w:rPr>
          <w:rFonts w:cstheme="minorHAnsi"/>
          <w:color w:val="000000"/>
          <w:shd w:val="clear" w:color="auto" w:fill="FFFFFF"/>
        </w:rPr>
        <w:fldChar w:fldCharType="separate"/>
      </w:r>
      <w:r w:rsidR="004D01B9" w:rsidRPr="004D01B9">
        <w:rPr>
          <w:rFonts w:ascii="Calibri" w:hAnsi="Calibri" w:cs="Calibri"/>
          <w:sz w:val="24"/>
        </w:rPr>
        <w:t>(34)</w:t>
      </w:r>
      <w:r w:rsidR="00BE539D" w:rsidRPr="002974BE">
        <w:rPr>
          <w:rFonts w:cstheme="minorHAnsi"/>
          <w:color w:val="000000"/>
          <w:shd w:val="clear" w:color="auto" w:fill="FFFFFF"/>
        </w:rPr>
        <w:fldChar w:fldCharType="end"/>
      </w:r>
      <w:r w:rsidR="00BE539D" w:rsidRPr="002974BE">
        <w:rPr>
          <w:rFonts w:cstheme="minorHAnsi"/>
          <w:color w:val="000000"/>
          <w:shd w:val="clear" w:color="auto" w:fill="FFFFFF"/>
        </w:rPr>
        <w:t>.</w:t>
      </w:r>
      <w:r w:rsidR="00753164">
        <w:rPr>
          <w:rFonts w:cstheme="minorHAnsi"/>
          <w:color w:val="000000"/>
          <w:shd w:val="clear" w:color="auto" w:fill="FFFFFF"/>
        </w:rPr>
        <w:t xml:space="preserve"> </w:t>
      </w:r>
      <w:r w:rsidR="00753164">
        <w:rPr>
          <w:rFonts w:cstheme="minorHAnsi"/>
          <w:color w:val="FF0000"/>
          <w:shd w:val="clear" w:color="auto" w:fill="FFFFFF"/>
        </w:rPr>
        <w:t xml:space="preserve">Esto se correlaciona con lo encontrando en nuestro estudio en que todos los participantes </w:t>
      </w:r>
      <w:proofErr w:type="spellStart"/>
      <w:r w:rsidR="00753164">
        <w:rPr>
          <w:rFonts w:cstheme="minorHAnsi"/>
          <w:color w:val="FF0000"/>
          <w:shd w:val="clear" w:color="auto" w:fill="FFFFFF"/>
        </w:rPr>
        <w:t>motraron</w:t>
      </w:r>
      <w:proofErr w:type="spellEnd"/>
      <w:r w:rsidR="00753164">
        <w:rPr>
          <w:rFonts w:cstheme="minorHAnsi"/>
          <w:color w:val="FF0000"/>
          <w:shd w:val="clear" w:color="auto" w:fill="FFFFFF"/>
        </w:rPr>
        <w:t xml:space="preserve"> reactividad en los tres isotipos y en </w:t>
      </w:r>
      <w:proofErr w:type="gramStart"/>
      <w:r w:rsidR="00753164">
        <w:rPr>
          <w:rFonts w:cstheme="minorHAnsi"/>
          <w:color w:val="FF0000"/>
          <w:shd w:val="clear" w:color="auto" w:fill="FFFFFF"/>
        </w:rPr>
        <w:t>los  cuatro</w:t>
      </w:r>
      <w:proofErr w:type="gramEnd"/>
      <w:r w:rsidR="00753164">
        <w:rPr>
          <w:rFonts w:cstheme="minorHAnsi"/>
          <w:color w:val="FF0000"/>
          <w:shd w:val="clear" w:color="auto" w:fill="FFFFFF"/>
        </w:rPr>
        <w:t xml:space="preserve"> antígenos.  Seria relevante conocer en próximas investigaciones la dinámica de estos anticuerpos con el fin de establecer un punto de corte para </w:t>
      </w:r>
      <w:proofErr w:type="spellStart"/>
      <w:r w:rsidR="00753164">
        <w:rPr>
          <w:rFonts w:cstheme="minorHAnsi"/>
          <w:color w:val="FF0000"/>
          <w:shd w:val="clear" w:color="auto" w:fill="FFFFFF"/>
        </w:rPr>
        <w:t>conosiderar</w:t>
      </w:r>
      <w:proofErr w:type="spellEnd"/>
      <w:r w:rsidR="00753164">
        <w:rPr>
          <w:rFonts w:cstheme="minorHAnsi"/>
          <w:color w:val="FF0000"/>
          <w:shd w:val="clear" w:color="auto" w:fill="FFFFFF"/>
        </w:rPr>
        <w:t xml:space="preserve"> </w:t>
      </w:r>
      <w:proofErr w:type="spellStart"/>
      <w:r w:rsidR="00753164">
        <w:rPr>
          <w:rFonts w:cstheme="minorHAnsi"/>
          <w:color w:val="FF0000"/>
          <w:shd w:val="clear" w:color="auto" w:fill="FFFFFF"/>
        </w:rPr>
        <w:t>poteccion</w:t>
      </w:r>
      <w:proofErr w:type="spellEnd"/>
      <w:r w:rsidR="00753164">
        <w:rPr>
          <w:rFonts w:cstheme="minorHAnsi"/>
          <w:color w:val="FF0000"/>
          <w:shd w:val="clear" w:color="auto" w:fill="FFFFFF"/>
        </w:rPr>
        <w:t>.</w:t>
      </w:r>
    </w:p>
    <w:p w14:paraId="5A872367" w14:textId="1246DEC3" w:rsidR="00BE539D" w:rsidRPr="00753164" w:rsidRDefault="00BE539D" w:rsidP="001D7F2E">
      <w:pPr>
        <w:jc w:val="both"/>
        <w:rPr>
          <w:rFonts w:cstheme="minorHAnsi"/>
          <w:color w:val="FF0000"/>
          <w:shd w:val="clear" w:color="auto" w:fill="FFFFFF"/>
        </w:rPr>
      </w:pPr>
      <w:r w:rsidRPr="001D7F2E">
        <w:rPr>
          <w:rFonts w:cstheme="minorHAnsi"/>
          <w:color w:val="000000"/>
          <w:shd w:val="clear" w:color="auto" w:fill="FFFFFF"/>
        </w:rPr>
        <w:t>Al producirse la primera vacuna en el 2021</w:t>
      </w:r>
      <w:r w:rsidR="00772626" w:rsidRPr="001D7F2E">
        <w:rPr>
          <w:rFonts w:cstheme="minorHAnsi"/>
          <w:color w:val="000000"/>
          <w:shd w:val="clear" w:color="auto" w:fill="FFFFFF"/>
        </w:rPr>
        <w:t xml:space="preserve"> y su posterior masificación, se </w:t>
      </w:r>
      <w:proofErr w:type="spellStart"/>
      <w:r w:rsidR="00772626" w:rsidRPr="001D7F2E">
        <w:rPr>
          <w:rFonts w:cstheme="minorHAnsi"/>
          <w:color w:val="000000"/>
          <w:shd w:val="clear" w:color="auto" w:fill="FFFFFF"/>
        </w:rPr>
        <w:t>epezaron</w:t>
      </w:r>
      <w:proofErr w:type="spellEnd"/>
      <w:r w:rsidR="00772626" w:rsidRPr="001D7F2E">
        <w:rPr>
          <w:rFonts w:cstheme="minorHAnsi"/>
          <w:color w:val="000000"/>
          <w:shd w:val="clear" w:color="auto" w:fill="FFFFFF"/>
        </w:rPr>
        <w:t xml:space="preserve"> a realizar estudios para la </w:t>
      </w:r>
      <w:proofErr w:type="spellStart"/>
      <w:r w:rsidR="00772626" w:rsidRPr="001D7F2E">
        <w:rPr>
          <w:rFonts w:cstheme="minorHAnsi"/>
          <w:color w:val="000000"/>
          <w:shd w:val="clear" w:color="auto" w:fill="FFFFFF"/>
        </w:rPr>
        <w:t>determinacion</w:t>
      </w:r>
      <w:proofErr w:type="spellEnd"/>
      <w:r w:rsidR="00772626" w:rsidRPr="001D7F2E">
        <w:rPr>
          <w:rFonts w:cstheme="minorHAnsi"/>
          <w:color w:val="000000"/>
          <w:shd w:val="clear" w:color="auto" w:fill="FFFFFF"/>
        </w:rPr>
        <w:t xml:space="preserve"> de la carga de anticuerpos utilizando diferentes métodos de diagn</w:t>
      </w:r>
      <w:r w:rsidR="001C2BBF">
        <w:rPr>
          <w:rFonts w:cstheme="minorHAnsi"/>
          <w:color w:val="000000"/>
          <w:shd w:val="clear" w:color="auto" w:fill="FFFFFF"/>
        </w:rPr>
        <w:t>ó</w:t>
      </w:r>
      <w:r w:rsidR="00772626" w:rsidRPr="001D7F2E">
        <w:rPr>
          <w:rFonts w:cstheme="minorHAnsi"/>
          <w:color w:val="000000"/>
          <w:shd w:val="clear" w:color="auto" w:fill="FFFFFF"/>
        </w:rPr>
        <w:t xml:space="preserve">stico </w:t>
      </w:r>
      <w:r w:rsidR="00772626" w:rsidRPr="001D7F2E">
        <w:rPr>
          <w:rFonts w:cstheme="minorHAnsi"/>
          <w:color w:val="000000"/>
          <w:shd w:val="clear" w:color="auto" w:fill="FFFFFF"/>
        </w:rPr>
        <w:fldChar w:fldCharType="begin"/>
      </w:r>
      <w:r w:rsidR="00772626" w:rsidRPr="001D7F2E">
        <w:rPr>
          <w:rFonts w:cstheme="minorHAnsi"/>
          <w:color w:val="000000"/>
          <w:shd w:val="clear" w:color="auto" w:fill="FFFFFF"/>
        </w:rPr>
        <w:instrText xml:space="preserve"> ADDIN ZOTERO_ITEM CSL_CITATION {"citationID":"T5GY5zqB","properties":{"formattedCitation":"(8)","plainCitation":"(8)","noteIndex":0},"citationItems":[{"id":1102,"uris":["http://zotero.org/users/6047638/items/WFDVV7X4"],"itemData":{"id":1102,"type":"article-journal","abstract":"Introduction: Since the SARS-CoV-2 virus emerged, there have been efforts to develop vaccines to control the COVID-19 pandemic. Objective: Was to assess evidence efficacy and safety of the BNT162b2, mRNA-1273, ChAdOx1/AZD1222 and Gam-COVID-Vac rAd26-S/rAd5-S vaccines against the SARS-CoV-2 virus. Materials and methods: We searched in PubMed/MEDLINE, Google Scholar, Cochrane, and the WHO International Clinical Trials Registry Platform on 15 March 2021. We measured the risk of bias of the studies and the quality of the evidence through GRADE profiles. A qualitative and quantitative analysis of the results of clinical trials was presented. Results: We identified 74 studies and included 4 in the review. The efficacy of the BNT162b2, mRNA-1273, ChAdOx1/AZD1222 and Gam-COVID-VacrAd26-S/rAd5-S vaccines against symptomatic COVID-19 was 95.0% (95% CI, 90.3 to 97.6), 94.1% (95% CI, 89.3 to 96.8), 66.7% (95% CI, 57.4 to 74.0), and 91.1% (95% CI, 83.8 to 95.1) respectively, and there was moderate certainty of the evidence due to serious indirectness. The safety profiles were acceptable, data on serious adverse events (summary RR: 0.93; 95% CI, 0.77 to 1.12; P =0.16) and deaths from all causes (summary RR: 0.70; 95% CI, 0.33 to 1.50; P =0.90) showed no significant differences. Conclusion: The results of this review support the level of evidence for the efficacy and safety of the COVID-19 vaccines that were analyzed. © 2022","archive":"Scopus","container-title":"Biomedica","DOI":"10.7705/biomedica.6254","ISSN":"0120-4157","issue":"2","language":"English","page":"1-23","source":"Scopus","title":"Efficacy and safety of four vaccines in preventing SARS-CoV-2 coronavirus infection (COVID-19): A rapid review","title-short":"Eficacia y seguridad de cuatro vacunas para prevenir la infección por coronavirus SARS-CoV-2 (COVID-19): Una revisión rápida Vacunas que previenen el COVID-1","volume":"42","author":[{"family":"Morón-Duarte","given":"L.S."},{"family":"Chacón","given":"K.R."},{"family":"Gutiérrez","given":"M.P."},{"family":"De La Hoz","given":"I.H."},{"family":"Yomayusa","given":"N."}],"issued":{"date-parts":[["2022"]]}}}],"schema":"https://github.com/citation-style-language/schema/raw/master/csl-citation.json"} </w:instrText>
      </w:r>
      <w:r w:rsidR="00772626" w:rsidRPr="001D7F2E">
        <w:rPr>
          <w:rFonts w:cstheme="minorHAnsi"/>
          <w:color w:val="000000"/>
          <w:shd w:val="clear" w:color="auto" w:fill="FFFFFF"/>
        </w:rPr>
        <w:fldChar w:fldCharType="separate"/>
      </w:r>
      <w:r w:rsidR="00772626" w:rsidRPr="001D7F2E">
        <w:rPr>
          <w:rFonts w:cstheme="minorHAnsi"/>
        </w:rPr>
        <w:t>(8)</w:t>
      </w:r>
      <w:r w:rsidR="00772626" w:rsidRPr="001D7F2E">
        <w:rPr>
          <w:rFonts w:cstheme="minorHAnsi"/>
          <w:color w:val="000000"/>
          <w:shd w:val="clear" w:color="auto" w:fill="FFFFFF"/>
        </w:rPr>
        <w:fldChar w:fldCharType="end"/>
      </w:r>
      <w:r w:rsidR="00772626" w:rsidRPr="001D7F2E">
        <w:rPr>
          <w:rFonts w:cstheme="minorHAnsi"/>
          <w:color w:val="000000"/>
          <w:shd w:val="clear" w:color="auto" w:fill="FFFFFF"/>
        </w:rPr>
        <w:t xml:space="preserve">. La </w:t>
      </w:r>
      <w:proofErr w:type="spellStart"/>
      <w:r w:rsidR="00772626" w:rsidRPr="001D7F2E">
        <w:rPr>
          <w:rFonts w:cstheme="minorHAnsi"/>
          <w:color w:val="000000"/>
          <w:shd w:val="clear" w:color="auto" w:fill="FFFFFF"/>
        </w:rPr>
        <w:t>citometria</w:t>
      </w:r>
      <w:proofErr w:type="spellEnd"/>
      <w:r w:rsidR="00772626" w:rsidRPr="001D7F2E">
        <w:rPr>
          <w:rFonts w:cstheme="minorHAnsi"/>
          <w:color w:val="000000"/>
          <w:shd w:val="clear" w:color="auto" w:fill="FFFFFF"/>
        </w:rPr>
        <w:t xml:space="preserve"> de flujo se convirtió en un método práctico para la determinación de anticuerpos de diferentes isotipos y de diferentes proteínas virales simultáneamente. </w:t>
      </w:r>
      <w:r w:rsidR="000310F3" w:rsidRPr="001D7F2E">
        <w:rPr>
          <w:rFonts w:cstheme="minorHAnsi"/>
          <w:color w:val="000000"/>
          <w:shd w:val="clear" w:color="auto" w:fill="FFFFFF"/>
        </w:rPr>
        <w:t>Como el estudio que se realizó en Rusia</w:t>
      </w:r>
      <w:r w:rsidR="00DE4D3B" w:rsidRPr="001D7F2E">
        <w:rPr>
          <w:rFonts w:cstheme="minorHAnsi"/>
          <w:color w:val="000000"/>
          <w:shd w:val="clear" w:color="auto" w:fill="FFFFFF"/>
        </w:rPr>
        <w:t xml:space="preserve"> usando esta metodología</w:t>
      </w:r>
      <w:r w:rsidR="005C7944" w:rsidRPr="001D7F2E">
        <w:rPr>
          <w:rFonts w:cstheme="minorHAnsi"/>
          <w:color w:val="000000"/>
          <w:shd w:val="clear" w:color="auto" w:fill="FFFFFF"/>
        </w:rPr>
        <w:t>,</w:t>
      </w:r>
      <w:r w:rsidR="000310F3" w:rsidRPr="001D7F2E">
        <w:rPr>
          <w:rFonts w:cstheme="minorHAnsi"/>
          <w:color w:val="000000"/>
          <w:shd w:val="clear" w:color="auto" w:fill="FFFFFF"/>
        </w:rPr>
        <w:t xml:space="preserve"> </w:t>
      </w:r>
      <w:r w:rsidR="005C7944" w:rsidRPr="001D7F2E">
        <w:rPr>
          <w:rFonts w:cstheme="minorHAnsi"/>
          <w:color w:val="000000"/>
          <w:shd w:val="clear" w:color="auto" w:fill="FFFFFF"/>
        </w:rPr>
        <w:t>tres</w:t>
      </w:r>
      <w:r w:rsidR="000310F3" w:rsidRPr="001D7F2E">
        <w:rPr>
          <w:rFonts w:cstheme="minorHAnsi"/>
          <w:color w:val="000000"/>
          <w:shd w:val="clear" w:color="auto" w:fill="FFFFFF"/>
        </w:rPr>
        <w:t xml:space="preserve"> meses después  de la vacunación con “Sputnik V” mostrando la formación </w:t>
      </w:r>
      <w:r w:rsidR="00866738" w:rsidRPr="001D7F2E">
        <w:rPr>
          <w:rFonts w:cstheme="minorHAnsi"/>
          <w:color w:val="000000"/>
          <w:shd w:val="clear" w:color="auto" w:fill="FFFFFF"/>
        </w:rPr>
        <w:t xml:space="preserve">altos </w:t>
      </w:r>
      <w:r w:rsidR="00753164">
        <w:rPr>
          <w:rFonts w:cstheme="minorHAnsi"/>
          <w:color w:val="000000"/>
          <w:shd w:val="clear" w:color="auto" w:fill="FFFFFF"/>
        </w:rPr>
        <w:t xml:space="preserve">niveles </w:t>
      </w:r>
      <w:r w:rsidR="000310F3" w:rsidRPr="001D7F2E">
        <w:rPr>
          <w:rFonts w:cstheme="minorHAnsi"/>
          <w:color w:val="000000"/>
          <w:shd w:val="clear" w:color="auto" w:fill="FFFFFF"/>
        </w:rPr>
        <w:t xml:space="preserve">de anticuerpos IgG e IgM de la proteína </w:t>
      </w:r>
      <w:proofErr w:type="spellStart"/>
      <w:r w:rsidR="000310F3" w:rsidRPr="001D7F2E">
        <w:rPr>
          <w:rFonts w:cstheme="minorHAnsi"/>
          <w:color w:val="000000"/>
          <w:shd w:val="clear" w:color="auto" w:fill="FFFFFF"/>
        </w:rPr>
        <w:t>Spike</w:t>
      </w:r>
      <w:proofErr w:type="spellEnd"/>
      <w:r w:rsidR="00DE4D3B" w:rsidRPr="001D7F2E">
        <w:rPr>
          <w:rFonts w:cstheme="minorHAnsi"/>
          <w:color w:val="000000"/>
          <w:shd w:val="clear" w:color="auto" w:fill="FFFFFF"/>
        </w:rPr>
        <w:t xml:space="preserve"> </w:t>
      </w:r>
      <w:r w:rsidR="00DE4D3B" w:rsidRPr="001D7F2E">
        <w:rPr>
          <w:rFonts w:cstheme="minorHAnsi"/>
          <w:color w:val="000000"/>
          <w:shd w:val="clear" w:color="auto" w:fill="FFFFFF"/>
        </w:rPr>
        <w:fldChar w:fldCharType="begin"/>
      </w:r>
      <w:r w:rsidR="004D01B9">
        <w:rPr>
          <w:rFonts w:cstheme="minorHAnsi"/>
          <w:color w:val="000000"/>
          <w:shd w:val="clear" w:color="auto" w:fill="FFFFFF"/>
        </w:rPr>
        <w:instrText xml:space="preserve"> ADDIN ZOTERO_ITEM CSL_CITATION {"citationID":"1vHwB7vn","properties":{"formattedCitation":"(35)","plainCitation":"(35)","noteIndex":0},"citationItems":[{"id":1141,"uris":["http://zotero.org/users/6047638/items/48L85WT9"],"itemData":{"id":1141,"type":"article-journal","abstract":"Introduction. The determination of antibodies against the Spike (S) protein of the novel coronavirus is widely used to confirm current or past infection with SARS-CoV-2, and as an indicator of the effectiveness of vaccination against COVID-19. The most common method for detecting anti-S-antibodies is enzyme-linked immunosorbent assay (ELISA), which uses a recombinant S-protein. Immunofluorescence followed by flow cytometry provides an alternative approach to detect anti-S-antibodies, where a protein in the native transmembrane conformation is used as the S-antigen. The aim of the study was to develop a method for determining anti-S-antibodies using flow cytometry, and to select the most appropriate method for processing experimental data. Material and methods. The study involved 22 volunteers (7 men and 15 women aged 25 to 70 years, median 48). All volunteers were vaccinated with two doses of the «Sputnik V» vaccine between January and February 2021. Donor sera samples were collected before vaccination with «Sputnik V» and 3 months after vaccination. 5 volunteers had already had a mild form of COVID-19 before the time of vaccination. The remaining 17 volunteers did not encounter the SARS-CoV-2. Antibodies against S-protein were determined by immunofluorescence with registration on a flow cytometer. HEK293 cells were transiently transfected with a plasmid encoding the wild type S-protein which was used as target. Transfection was performed by the calcium phosphate method. Cells were incubated with serially diluted sera and then stained with anti-IgG-PE and anti-IgM-FITC secondary antibodies. The fluorescence level was measured using a flow cytometer. As a measurement result, the mean fluorescence intensity (MFI) obtained at 1:18 serum dilution, or the area under the titration curve (area under curve, AUC) was used. Anti-RBD-antibodies were determined using enzyme immunoassay, and virus-neutralizing activity using pseudotyped or surrogate virus-neutralization analysis (pVNA and sVNA). Results. Using the developed method, the formation of anti-S antibodies of the IgG and IgM isotypes was shown 3 months after immunization with the «Sputnik V» vaccine. In a simplified version of the method, the relative concentration of antibodies was determined at a single dilution of the test serum by measuring the mean fluorescence intensity (MFI) of the target cells. More reliable results were obtained by construction the titration curve and calculating the area under the curve (AUC). The results thus obtained correlated well with the detection of anti-RBD antibodies by ELISA, as well as with virus neutralization data in pseudotyped and surrogate assays. Conclusion. Flow cytometry is a convenient method for the simultaneous determination of anti-S antibodies of IgG and IgM isotypes in human serum. The advantages of the method include the fact that the S-protein is presented in a native transmembrane conformation. After minor modification, the established method can be used to determine the level of anti-S-antibodies against mutant variants of SARS-CoV-2. © 2022 Meditsina Publishers. All rights reserved.","archive":"Scopus","container-title":"Immunologiya","DOI":"10.33029/0206-4952-2022-43-4-447-457","ISSN":"0206-4952","issue":"4","language":"Russian","page":"447-457","source":"Scopus","title":"Flow cytometric assay for the detection of anti-SARS-CoV-2 Spike protein antibodies in serum of vaccinated volunteers","title-short":"Определение антител против шиповидного белка SARS-CoV-2 в сыворотке вакцинированных добровольцев методом проточной цитометрии","volume":"43","author":[{"family":"Astakhova","given":"E.A."},{"family":"Byazrova","given":"M.G."},{"family":"Milyaev","given":"S.M."},{"family":"Sukhova","given":"M.M."},{"family":"Mikhailov","given":"A.A."},{"family":"Morozov","given":"A.A."},{"family":"Prilipov","given":"A.G."},{"family":"Filatov","given":"A.V."}],"issued":{"date-parts":[["2022"]]}}}],"schema":"https://github.com/citation-style-language/schema/raw/master/csl-citation.json"} </w:instrText>
      </w:r>
      <w:r w:rsidR="00DE4D3B" w:rsidRPr="001D7F2E">
        <w:rPr>
          <w:rFonts w:cstheme="minorHAnsi"/>
          <w:color w:val="000000"/>
          <w:shd w:val="clear" w:color="auto" w:fill="FFFFFF"/>
        </w:rPr>
        <w:fldChar w:fldCharType="separate"/>
      </w:r>
      <w:r w:rsidR="004D01B9" w:rsidRPr="004D01B9">
        <w:rPr>
          <w:rFonts w:ascii="Calibri" w:hAnsi="Calibri" w:cs="Calibri"/>
        </w:rPr>
        <w:t>(35)</w:t>
      </w:r>
      <w:r w:rsidR="00DE4D3B" w:rsidRPr="001D7F2E">
        <w:rPr>
          <w:rFonts w:cstheme="minorHAnsi"/>
          <w:color w:val="000000"/>
          <w:shd w:val="clear" w:color="auto" w:fill="FFFFFF"/>
        </w:rPr>
        <w:fldChar w:fldCharType="end"/>
      </w:r>
      <w:r w:rsidR="000310F3" w:rsidRPr="001D7F2E">
        <w:rPr>
          <w:rFonts w:cstheme="minorHAnsi"/>
          <w:color w:val="000000"/>
          <w:shd w:val="clear" w:color="auto" w:fill="FFFFFF"/>
        </w:rPr>
        <w:t xml:space="preserve">. </w:t>
      </w:r>
      <w:r w:rsidR="00DE4D3B" w:rsidRPr="001D7F2E">
        <w:rPr>
          <w:rFonts w:cstheme="minorHAnsi"/>
          <w:color w:val="000000"/>
          <w:shd w:val="clear" w:color="auto" w:fill="FFFFFF"/>
        </w:rPr>
        <w:t xml:space="preserve">Mientras que otro estudio, usando </w:t>
      </w:r>
      <w:proofErr w:type="spellStart"/>
      <w:r w:rsidR="00DE4D3B" w:rsidRPr="001D7F2E">
        <w:rPr>
          <w:rFonts w:cstheme="minorHAnsi"/>
          <w:color w:val="000000"/>
          <w:shd w:val="clear" w:color="auto" w:fill="FFFFFF"/>
        </w:rPr>
        <w:t>lla</w:t>
      </w:r>
      <w:proofErr w:type="spellEnd"/>
      <w:r w:rsidR="00DE4D3B" w:rsidRPr="001D7F2E">
        <w:rPr>
          <w:rFonts w:cstheme="minorHAnsi"/>
          <w:color w:val="000000"/>
          <w:shd w:val="clear" w:color="auto" w:fill="FFFFFF"/>
        </w:rPr>
        <w:t xml:space="preserve"> metodología de ELISA “COVIDAR IgG” para evaluar los anticuerpos anti-</w:t>
      </w:r>
      <w:proofErr w:type="spellStart"/>
      <w:r w:rsidR="00DE4D3B" w:rsidRPr="001D7F2E">
        <w:rPr>
          <w:rFonts w:cstheme="minorHAnsi"/>
          <w:color w:val="000000"/>
          <w:shd w:val="clear" w:color="auto" w:fill="FFFFFF"/>
        </w:rPr>
        <w:t>Spike</w:t>
      </w:r>
      <w:proofErr w:type="spellEnd"/>
      <w:r w:rsidR="00DE4D3B" w:rsidRPr="001D7F2E">
        <w:rPr>
          <w:rFonts w:cstheme="minorHAnsi"/>
          <w:color w:val="000000"/>
          <w:shd w:val="clear" w:color="auto" w:fill="FFFFFF"/>
        </w:rPr>
        <w:t xml:space="preserve"> IgG en trabajadores de salud</w:t>
      </w:r>
      <w:r w:rsidR="00866738" w:rsidRPr="001D7F2E">
        <w:rPr>
          <w:rFonts w:cstheme="minorHAnsi"/>
          <w:color w:val="000000"/>
          <w:shd w:val="clear" w:color="auto" w:fill="FFFFFF"/>
        </w:rPr>
        <w:t xml:space="preserve"> se mostró una </w:t>
      </w:r>
      <w:proofErr w:type="spellStart"/>
      <w:r w:rsidR="00866738" w:rsidRPr="001D7F2E">
        <w:rPr>
          <w:rFonts w:cstheme="minorHAnsi"/>
          <w:color w:val="000000"/>
          <w:shd w:val="clear" w:color="auto" w:fill="FFFFFF"/>
        </w:rPr>
        <w:t>serconversión</w:t>
      </w:r>
      <w:proofErr w:type="spellEnd"/>
      <w:r w:rsidR="00DE4D3B" w:rsidRPr="001D7F2E">
        <w:rPr>
          <w:rFonts w:cstheme="minorHAnsi"/>
          <w:color w:val="000000"/>
          <w:shd w:val="clear" w:color="auto" w:fill="FFFFFF"/>
        </w:rPr>
        <w:t xml:space="preserve"> cerca del 100% </w:t>
      </w:r>
      <w:r w:rsidR="00DE4D3B" w:rsidRPr="001D7F2E">
        <w:rPr>
          <w:rFonts w:cstheme="minorHAnsi"/>
          <w:color w:val="000000"/>
          <w:shd w:val="clear" w:color="auto" w:fill="FFFFFF"/>
        </w:rPr>
        <w:fldChar w:fldCharType="begin"/>
      </w:r>
      <w:r w:rsidR="004D01B9">
        <w:rPr>
          <w:rFonts w:cstheme="minorHAnsi"/>
          <w:color w:val="000000"/>
          <w:shd w:val="clear" w:color="auto" w:fill="FFFFFF"/>
        </w:rPr>
        <w:instrText xml:space="preserve"> ADDIN ZOTERO_ITEM CSL_CITATION {"citationID":"DAb4Hbjl","properties":{"formattedCitation":"(36)","plainCitation":"(36)","noteIndex":0},"citationItems":[{"id":1149,"uris":["http://zotero.org/users/6047638/items/6XICPEZ9"],"itemData":{"id":1149,"type":"article-journal","abstract":"Resumen\nIntroducción\nLa vacunación para la COVID-19 en el personal de salud (PDS) es fundamental para proteger a una de las poblaciones más expuestas a esta enfermedad. Sin embargo, los datos de la tasa de respuesta humoral a la vacuna y los factores asociados a la misma en esta población son limitados. Nuestros objetivos fueron evaluar la respuesta de los anticuerpos contra SARS-CoV-2 en el PDS con el esquema completo de la vacuna Sputnik V y los factores asociados con una mayor respuesta de los anticuerpos.\nMateriales y métodos\nEstudio prospectivo de evaluación de la respuesta humoral anti-SARS-CoV-2 en el PDS con el esquema completo de la vacuna Sputnik V mediante el enzimoinmunoanálisis COVIDAR IgG (abril–julio 2021). Se realizó una regresión logística para identificar los factores independientes asociados con una prueba de serología IgG positiva y con una respuesta elevada de anticuerpos.\nResultados\nSe enrolaron 630 PDS. Mediana (RIC) de edad: 47 años (35-56). Sexo femenino: 462 (73,33%). COVID previo: 158 (25%). Mediana de tiempo entre las dosis de vacuna fue de 3 (3-4) semanas. Presentaron serología reactiva 607 (96,35%). En el análisis multivariado se identificó como variable independiente asociada a la serología positiva al antecedente de reactogenicidad sistémica a la vacuna; y con una respuesta elevada de los anticuerpos al antecedente de reactogenicidad sistémica a la vacuna, COVID-19 previo, intervalo entre dosis ≥ 4 semanas y tiempo a serología &lt; 14 semanas.\nConclusiones\nEste estudio proporciona datos de la respuesta humoral a la vacuna Sputnik V en un escenario de la vida real. Estos datos iniciales pueden contribuir al desarrollo de futuras estrategias de inmunización en el PDS.\nBackground\nVaccination for COVID-19 in healthcare workers (HCW) is essential to protect one of the populations most exposed to this disease. However, data on the humoral response rate to the vaccine and the factors associated with it in this population are limited. Therefore, we aimed to evaluate the antibody response against SARS-CoV-2 in HCWs with complete Sputnik V vaccine scheme and factors associated with an increased antibody response.\nMaterial and methods\nProspective study to evaluate the anti-SARS-CoV-2 humoral response in HCWs vaccinated with two doses of the Sputnik V vaccine (April-July 2021). The assessment of anti-Spike IgG antibodies in plasma was performed using the COVIDAR IgG enzyme-linked immunosorbent assay. A logistic regression was performed to identify independent factors associated with a positive IgG serology test and an elevated antibody response.\nResults\nA total of 630 HCWs were enrolled. Median age (IQR): 47 years (35-56). Female sex: 462 (73.33%). Previous COVID-19: 158 (25%). The median interval time between vaccine doses was 3 (3-4) weeks. Positive serology was observed in 607 (96.35%) HCWs. In the multivariate analysis, a history of systemic reactogenicity was identified as an independent variable associated with a positive serology; and history of systemic reactogenicity, COVID-19, interval between doses ≥4 weeks and time to serology &lt;14 weeks were associated with an elevated antibody response.\nConclusions\nThis study provides data on the humoral response to the Sputnik V vaccine in a real-life setting. These initial data can contribute to the development of future immunization strategies in HCWs.","collection-title":"Vacunación COVID-19: Conocimientos y actitudes","container-title":"Vacunas","DOI":"10.1016/j.vacun.2022.01.008","ISSN":"1576-9887","journalAbbreviation":"Vacunas","language":"es","page":"S14-S21","source":"ScienceDirect","title":"Evaluación de la respuesta de los anticuerpos IGG específicos contra SARS-CoV-2 en el personal de salud con el esquema completo de la vacuna Sputnik V (Gam-COVID-Vac)","URL":"https://www.sciencedirect.com/science/article/pii/S1576988722000279","volume":"23","author":[{"family":"Cordova","given":"Ezequiel"},{"family":"Lespada","given":"M. Ines"},{"family":"Cecchini","given":"Diego"},{"family":"Nieto","given":"Fabiola"},{"family":"Palonski","given":"Susana"},{"family":"Badran","given":"Mariana"},{"family":"Bernasconi","given":"Silvina"},{"family":"Bacelar","given":"Brenda"},{"family":"Morganti","given":"Laura"},{"family":"Garibaldi","given":"Franco"},{"family":"Bermejo","given":"Veronica"},{"family":"Aguirre","given":"Viviana"},{"family":"Badia","given":"Marcela"},{"family":"Rodriguez","given":"Claudia G."}],"accessed":{"date-parts":[["2023",4,24]]},"issued":{"date-parts":[["2022",5,1]]}}}],"schema":"https://github.com/citation-style-language/schema/raw/master/csl-citation.json"} </w:instrText>
      </w:r>
      <w:r w:rsidR="00DE4D3B" w:rsidRPr="001D7F2E">
        <w:rPr>
          <w:rFonts w:cstheme="minorHAnsi"/>
          <w:color w:val="000000"/>
          <w:shd w:val="clear" w:color="auto" w:fill="FFFFFF"/>
        </w:rPr>
        <w:fldChar w:fldCharType="separate"/>
      </w:r>
      <w:r w:rsidR="004D01B9" w:rsidRPr="004D01B9">
        <w:rPr>
          <w:rFonts w:ascii="Calibri" w:hAnsi="Calibri" w:cs="Calibri"/>
        </w:rPr>
        <w:t>(36)</w:t>
      </w:r>
      <w:r w:rsidR="00DE4D3B" w:rsidRPr="001D7F2E">
        <w:rPr>
          <w:rFonts w:cstheme="minorHAnsi"/>
          <w:color w:val="000000"/>
          <w:shd w:val="clear" w:color="auto" w:fill="FFFFFF"/>
        </w:rPr>
        <w:fldChar w:fldCharType="end"/>
      </w:r>
      <w:r w:rsidR="00DE4D3B" w:rsidRPr="001D7F2E">
        <w:rPr>
          <w:rFonts w:cstheme="minorHAnsi"/>
          <w:color w:val="000000"/>
          <w:shd w:val="clear" w:color="auto" w:fill="FFFFFF"/>
        </w:rPr>
        <w:t>.</w:t>
      </w:r>
      <w:r w:rsidR="00866738" w:rsidRPr="001D7F2E">
        <w:rPr>
          <w:rFonts w:cstheme="minorHAnsi"/>
          <w:color w:val="000000"/>
          <w:shd w:val="clear" w:color="auto" w:fill="FFFFFF"/>
        </w:rPr>
        <w:t xml:space="preserve"> </w:t>
      </w:r>
      <w:r w:rsidR="00753164">
        <w:rPr>
          <w:rFonts w:cstheme="minorHAnsi"/>
          <w:color w:val="FF0000"/>
          <w:shd w:val="clear" w:color="auto" w:fill="FFFFFF"/>
        </w:rPr>
        <w:t>Siendo consistente con nuestro estudio.</w:t>
      </w:r>
    </w:p>
    <w:p w14:paraId="0CFDA54A" w14:textId="3FAAA2A8" w:rsidR="00866738" w:rsidRPr="001D7F2E" w:rsidRDefault="00866738" w:rsidP="001D7F2E">
      <w:pPr>
        <w:pStyle w:val="NormalWeb"/>
        <w:shd w:val="clear" w:color="auto" w:fill="FFFFFF"/>
        <w:spacing w:before="0" w:beforeAutospacing="0" w:after="240" w:afterAutospacing="0" w:line="360" w:lineRule="auto"/>
        <w:jc w:val="both"/>
        <w:rPr>
          <w:rFonts w:asciiTheme="minorHAnsi" w:eastAsiaTheme="minorHAnsi" w:hAnsiTheme="minorHAnsi" w:cstheme="minorHAnsi"/>
          <w:sz w:val="22"/>
          <w:szCs w:val="22"/>
          <w:lang w:eastAsia="en-US"/>
        </w:rPr>
      </w:pPr>
      <w:r w:rsidRPr="001D7F2E">
        <w:rPr>
          <w:rFonts w:asciiTheme="minorHAnsi" w:eastAsiaTheme="minorHAnsi" w:hAnsiTheme="minorHAnsi" w:cstheme="minorHAnsi"/>
          <w:sz w:val="22"/>
          <w:szCs w:val="22"/>
          <w:lang w:eastAsia="en-US"/>
        </w:rPr>
        <w:t>Por lo tanto, el uso de perlas magnéticas y citometría de flujo proporciona un método para análisis serológicos que se adapta fácilmente a la práctica hospitalaria y laboratorios clínicos que utilizan cualquier citómetro de flujo estándar</w:t>
      </w:r>
      <w:r w:rsidR="001D7F2E" w:rsidRPr="001D7F2E">
        <w:rPr>
          <w:rFonts w:asciiTheme="minorHAnsi" w:eastAsiaTheme="minorHAnsi" w:hAnsiTheme="minorHAnsi" w:cstheme="minorHAnsi"/>
          <w:sz w:val="22"/>
          <w:szCs w:val="22"/>
          <w:lang w:eastAsia="en-US"/>
        </w:rPr>
        <w:t xml:space="preserve"> </w:t>
      </w:r>
      <w:r w:rsidR="001D7F2E" w:rsidRPr="001D7F2E">
        <w:rPr>
          <w:rFonts w:asciiTheme="minorHAnsi" w:eastAsiaTheme="minorHAnsi" w:hAnsiTheme="minorHAnsi" w:cstheme="minorHAnsi"/>
          <w:sz w:val="22"/>
          <w:szCs w:val="22"/>
          <w:lang w:eastAsia="en-US"/>
        </w:rPr>
        <w:fldChar w:fldCharType="begin"/>
      </w:r>
      <w:r w:rsidR="004D01B9">
        <w:rPr>
          <w:rFonts w:asciiTheme="minorHAnsi" w:eastAsiaTheme="minorHAnsi" w:hAnsiTheme="minorHAnsi" w:cstheme="minorHAnsi"/>
          <w:sz w:val="22"/>
          <w:szCs w:val="22"/>
          <w:lang w:eastAsia="en-US"/>
        </w:rPr>
        <w:instrText xml:space="preserve"> ADDIN ZOTERO_ITEM CSL_CITATION {"citationID":"Atdcxp7C","properties":{"formattedCitation":"(37)","plainCitation":"(37)","noteIndex":0},"citationItems":[{"id":1191,"uris":["http://zotero.org/users/6047638/items/898YS2DT"],"itemData":{"id":1191,"type":"article-journal","abstract":"Flow cytometry is a technology that provides rapid multi-parametric analysis of single cells in solution. Flow cytometers utilize lasers as light sources to produce both scattered and fluorescent light signals that are read by detectors such as photodiodes or photomultiplier tubes. These light signals are converted into electronic signals that are analyzed by a computer and written to a standardized format (.fcs) data file. Cell populations can be analyzed and/or purified based on their fluorescent or light scattering characteristics. A variety of fluorescent reagents are utilized in flow cytometry. These include fluorescently conjugated antibodies, nucleic acid binding dyes, viability dyes, ion indicator dyes, and fluorescent expression proteins. Flow cytometry is a powerful tool that has applications in immunology, molecular biology, bacteriology, virology, cancer biology, and infectious disease monitoring. It has seen dramatic advances over the last 30 years, allowing unprecedented detail in studies of the immune system and other areas of cell biology. © 2018 by John Wiley &amp; Sons, Inc.","container-title":"Current Protocols in Immunology","DOI":"10.1002/cpim.40","ISSN":"1934-368X","journalAbbreviation":"Curr Protoc Immunol","language":"eng","note":"PMID: 29512141\nPMCID: PMC5939936","page":"5.1.1-5.1.11","source":"PubMed","title":"Flow Cytometry: An Overview","title-short":"Flow Cytometry","volume":"120","author":[{"family":"McKinnon","given":"Katherine M."}],"issued":{"date-parts":[["2018",2,21]]}}}],"schema":"https://github.com/citation-style-language/schema/raw/master/csl-citation.json"} </w:instrText>
      </w:r>
      <w:r w:rsidR="001D7F2E" w:rsidRPr="001D7F2E">
        <w:rPr>
          <w:rFonts w:asciiTheme="minorHAnsi" w:eastAsiaTheme="minorHAnsi" w:hAnsiTheme="minorHAnsi" w:cstheme="minorHAnsi"/>
          <w:sz w:val="22"/>
          <w:szCs w:val="22"/>
          <w:lang w:eastAsia="en-US"/>
        </w:rPr>
        <w:fldChar w:fldCharType="separate"/>
      </w:r>
      <w:r w:rsidR="004D01B9" w:rsidRPr="004D01B9">
        <w:rPr>
          <w:rFonts w:ascii="Calibri" w:eastAsiaTheme="minorHAnsi" w:hAnsi="Calibri" w:cs="Calibri"/>
          <w:sz w:val="22"/>
        </w:rPr>
        <w:t>(37)</w:t>
      </w:r>
      <w:r w:rsidR="001D7F2E" w:rsidRPr="001D7F2E">
        <w:rPr>
          <w:rFonts w:asciiTheme="minorHAnsi" w:eastAsiaTheme="minorHAnsi" w:hAnsiTheme="minorHAnsi" w:cstheme="minorHAnsi"/>
          <w:sz w:val="22"/>
          <w:szCs w:val="22"/>
          <w:lang w:eastAsia="en-US"/>
        </w:rPr>
        <w:fldChar w:fldCharType="end"/>
      </w:r>
      <w:r w:rsidR="00753164">
        <w:rPr>
          <w:rFonts w:asciiTheme="minorHAnsi" w:eastAsiaTheme="minorHAnsi" w:hAnsiTheme="minorHAnsi" w:cstheme="minorHAnsi"/>
          <w:sz w:val="22"/>
          <w:szCs w:val="22"/>
          <w:lang w:eastAsia="en-US"/>
        </w:rPr>
        <w:t xml:space="preserve"> </w:t>
      </w:r>
      <w:r w:rsidR="00753164" w:rsidRPr="00D10913">
        <w:rPr>
          <w:rFonts w:asciiTheme="minorHAnsi" w:eastAsiaTheme="minorHAnsi" w:hAnsiTheme="minorHAnsi" w:cstheme="minorHAnsi"/>
          <w:color w:val="FF0000"/>
          <w:sz w:val="22"/>
          <w:szCs w:val="22"/>
          <w:lang w:eastAsia="en-US"/>
        </w:rPr>
        <w:t>además que permite la detección simultanea de varios isotipos de anticuerpos contra diferentes antígenos en una sola reacció</w:t>
      </w:r>
      <w:r w:rsidR="00D10913">
        <w:rPr>
          <w:rFonts w:asciiTheme="minorHAnsi" w:eastAsiaTheme="minorHAnsi" w:hAnsiTheme="minorHAnsi" w:cstheme="minorHAnsi"/>
          <w:color w:val="FF0000"/>
          <w:sz w:val="22"/>
          <w:szCs w:val="22"/>
          <w:lang w:eastAsia="en-US"/>
        </w:rPr>
        <w:t xml:space="preserve">n. El conocer la </w:t>
      </w:r>
      <w:proofErr w:type="spellStart"/>
      <w:r w:rsidR="00D10913">
        <w:rPr>
          <w:rFonts w:asciiTheme="minorHAnsi" w:eastAsiaTheme="minorHAnsi" w:hAnsiTheme="minorHAnsi" w:cstheme="minorHAnsi"/>
          <w:color w:val="FF0000"/>
          <w:sz w:val="22"/>
          <w:szCs w:val="22"/>
          <w:lang w:eastAsia="en-US"/>
        </w:rPr>
        <w:t>dinamica</w:t>
      </w:r>
      <w:proofErr w:type="spellEnd"/>
      <w:r w:rsidR="00D10913">
        <w:rPr>
          <w:rFonts w:asciiTheme="minorHAnsi" w:eastAsiaTheme="minorHAnsi" w:hAnsiTheme="minorHAnsi" w:cstheme="minorHAnsi"/>
          <w:color w:val="FF0000"/>
          <w:sz w:val="22"/>
          <w:szCs w:val="22"/>
          <w:lang w:eastAsia="en-US"/>
        </w:rPr>
        <w:t xml:space="preserve"> de estos anticuerpos se hace……</w:t>
      </w:r>
    </w:p>
    <w:p w14:paraId="7B754314" w14:textId="47D936F5" w:rsidR="007B15E0" w:rsidRDefault="00D1712A" w:rsidP="001D7F2E">
      <w:pPr>
        <w:pStyle w:val="Textoindependiente"/>
        <w:spacing w:before="0" w:after="0" w:line="360" w:lineRule="auto"/>
        <w:jc w:val="both"/>
        <w:rPr>
          <w:rFonts w:cstheme="minorHAnsi"/>
          <w:b/>
          <w:sz w:val="22"/>
          <w:szCs w:val="22"/>
        </w:rPr>
      </w:pPr>
      <w:r w:rsidRPr="002974BE">
        <w:rPr>
          <w:rFonts w:cstheme="minorHAnsi"/>
          <w:b/>
          <w:sz w:val="22"/>
          <w:szCs w:val="22"/>
        </w:rPr>
        <w:t>CONCLUSIONES</w:t>
      </w:r>
    </w:p>
    <w:p w14:paraId="731E32A9" w14:textId="77777777" w:rsidR="00D10913" w:rsidRPr="002974BE" w:rsidRDefault="00D10913" w:rsidP="001D7F2E">
      <w:pPr>
        <w:pStyle w:val="Textoindependiente"/>
        <w:spacing w:before="0" w:after="0" w:line="360" w:lineRule="auto"/>
        <w:jc w:val="both"/>
        <w:rPr>
          <w:rFonts w:cstheme="minorHAnsi"/>
          <w:b/>
          <w:sz w:val="22"/>
          <w:szCs w:val="22"/>
        </w:rPr>
      </w:pPr>
    </w:p>
    <w:p w14:paraId="5C9B4B74" w14:textId="77777777" w:rsidR="007B15E0" w:rsidRPr="002974BE" w:rsidRDefault="007B15E0" w:rsidP="001D7F2E">
      <w:pPr>
        <w:pStyle w:val="Textoindependiente"/>
        <w:spacing w:before="0" w:after="0" w:line="360" w:lineRule="auto"/>
        <w:jc w:val="both"/>
        <w:rPr>
          <w:rFonts w:cstheme="minorHAnsi"/>
          <w:b/>
          <w:sz w:val="22"/>
          <w:szCs w:val="22"/>
        </w:rPr>
      </w:pPr>
    </w:p>
    <w:p w14:paraId="4CAA7E47" w14:textId="77777777" w:rsidR="007B15E0" w:rsidRPr="002974BE" w:rsidRDefault="007B15E0" w:rsidP="001D7F2E">
      <w:pPr>
        <w:pStyle w:val="Textoindependiente"/>
        <w:spacing w:before="0" w:after="0" w:line="360" w:lineRule="auto"/>
        <w:jc w:val="both"/>
        <w:rPr>
          <w:rFonts w:cstheme="minorHAnsi"/>
          <w:sz w:val="22"/>
          <w:szCs w:val="22"/>
        </w:rPr>
      </w:pPr>
    </w:p>
    <w:p w14:paraId="43BB3B2A" w14:textId="77777777" w:rsidR="007B15E0" w:rsidRPr="002974BE" w:rsidRDefault="007B15E0" w:rsidP="001D7F2E">
      <w:pPr>
        <w:pStyle w:val="Textoindependiente"/>
        <w:spacing w:before="0" w:after="0" w:line="360" w:lineRule="auto"/>
        <w:jc w:val="both"/>
        <w:rPr>
          <w:rFonts w:cstheme="minorHAnsi"/>
          <w:sz w:val="22"/>
          <w:szCs w:val="22"/>
        </w:rPr>
      </w:pPr>
    </w:p>
    <w:p w14:paraId="00D99E24" w14:textId="77777777" w:rsidR="007B15E0" w:rsidRPr="002974BE" w:rsidRDefault="007B15E0" w:rsidP="001D7F2E">
      <w:pPr>
        <w:pStyle w:val="Textoindependiente"/>
        <w:spacing w:before="0" w:after="0" w:line="360" w:lineRule="auto"/>
        <w:jc w:val="both"/>
        <w:rPr>
          <w:rFonts w:cstheme="minorHAnsi"/>
          <w:b/>
          <w:sz w:val="22"/>
          <w:szCs w:val="22"/>
        </w:rPr>
      </w:pPr>
      <w:r w:rsidRPr="002974BE">
        <w:rPr>
          <w:rFonts w:cstheme="minorHAnsi"/>
          <w:b/>
          <w:sz w:val="22"/>
          <w:szCs w:val="22"/>
        </w:rPr>
        <w:t xml:space="preserve">AGRADECIMIENTOS (INCLUYE FUENTES DE FINANCIAMIENTO) </w:t>
      </w:r>
    </w:p>
    <w:p w14:paraId="3794836D" w14:textId="77777777" w:rsidR="007B15E0" w:rsidRPr="002974BE" w:rsidRDefault="007B15E0" w:rsidP="001D7F2E">
      <w:pPr>
        <w:pStyle w:val="Textoindependiente"/>
        <w:spacing w:before="0" w:after="0" w:line="360" w:lineRule="auto"/>
        <w:jc w:val="both"/>
        <w:rPr>
          <w:rFonts w:cstheme="minorHAnsi"/>
          <w:b/>
          <w:sz w:val="22"/>
          <w:szCs w:val="22"/>
        </w:rPr>
      </w:pPr>
    </w:p>
    <w:p w14:paraId="5782B6DA" w14:textId="77777777" w:rsidR="007B15E0" w:rsidRPr="002974BE" w:rsidRDefault="007B15E0" w:rsidP="001D7F2E">
      <w:pPr>
        <w:pStyle w:val="Textoindependiente"/>
        <w:spacing w:before="0" w:after="0" w:line="360" w:lineRule="auto"/>
        <w:jc w:val="both"/>
        <w:rPr>
          <w:rFonts w:cstheme="minorHAnsi"/>
          <w:sz w:val="22"/>
          <w:szCs w:val="22"/>
        </w:rPr>
      </w:pPr>
      <w:r w:rsidRPr="002974BE">
        <w:rPr>
          <w:rFonts w:cstheme="minorHAnsi"/>
          <w:sz w:val="22"/>
          <w:szCs w:val="22"/>
        </w:rPr>
        <w:lastRenderedPageBreak/>
        <w:br w:type="page"/>
      </w:r>
    </w:p>
    <w:p w14:paraId="4CADAEB9" w14:textId="77777777" w:rsidR="007B15E0" w:rsidRPr="002974BE" w:rsidRDefault="007B15E0" w:rsidP="001D7F2E">
      <w:pPr>
        <w:pStyle w:val="Textoindependiente"/>
        <w:spacing w:before="0" w:after="0" w:line="360" w:lineRule="auto"/>
        <w:jc w:val="both"/>
        <w:rPr>
          <w:rFonts w:cstheme="minorHAnsi"/>
          <w:sz w:val="22"/>
          <w:szCs w:val="22"/>
        </w:rPr>
      </w:pPr>
    </w:p>
    <w:p w14:paraId="3E14CDC4" w14:textId="77777777" w:rsidR="007B15E0" w:rsidRPr="005F269C" w:rsidRDefault="007B15E0" w:rsidP="004D01B9">
      <w:pPr>
        <w:pStyle w:val="Textoindependiente"/>
        <w:spacing w:before="0" w:after="0" w:line="360" w:lineRule="auto"/>
        <w:jc w:val="both"/>
        <w:rPr>
          <w:rFonts w:cstheme="minorHAnsi"/>
          <w:b/>
          <w:sz w:val="22"/>
          <w:szCs w:val="22"/>
          <w:lang w:val="en-US"/>
        </w:rPr>
      </w:pPr>
      <w:r w:rsidRPr="005F269C">
        <w:rPr>
          <w:rFonts w:cstheme="minorHAnsi"/>
          <w:b/>
          <w:sz w:val="22"/>
          <w:szCs w:val="22"/>
          <w:lang w:val="en-US"/>
        </w:rPr>
        <w:t xml:space="preserve">REFERENCIAS BIBLIOGRÁFICAS </w:t>
      </w:r>
    </w:p>
    <w:p w14:paraId="3F26BAE2" w14:textId="77777777" w:rsidR="007B15E0" w:rsidRPr="005F269C" w:rsidRDefault="007B15E0" w:rsidP="004D01B9">
      <w:pPr>
        <w:pStyle w:val="Textoindependiente"/>
        <w:spacing w:before="0" w:after="0"/>
        <w:jc w:val="both"/>
        <w:rPr>
          <w:rFonts w:cstheme="minorHAnsi"/>
          <w:sz w:val="22"/>
          <w:szCs w:val="22"/>
          <w:lang w:val="en-US"/>
        </w:rPr>
      </w:pPr>
    </w:p>
    <w:p w14:paraId="39E98F18" w14:textId="77777777" w:rsidR="004D01B9" w:rsidRPr="004D01B9" w:rsidRDefault="00D525A4" w:rsidP="004D01B9">
      <w:pPr>
        <w:pStyle w:val="Bibliografa"/>
        <w:jc w:val="both"/>
        <w:rPr>
          <w:rFonts w:ascii="Calibri" w:hAnsi="Calibri" w:cs="Calibri"/>
        </w:rPr>
      </w:pPr>
      <w:r w:rsidRPr="002974BE">
        <w:rPr>
          <w:rFonts w:cstheme="minorHAnsi"/>
        </w:rPr>
        <w:fldChar w:fldCharType="begin"/>
      </w:r>
      <w:r w:rsidR="001D7F2E" w:rsidRPr="005F269C">
        <w:rPr>
          <w:rFonts w:cstheme="minorHAnsi"/>
          <w:lang w:val="en-US"/>
        </w:rPr>
        <w:instrText xml:space="preserve"> ADDIN ZOTERO_BIBL {"uncited":[],"omitted":[],"custom":[]} CSL_BIBLIOGRAPHY </w:instrText>
      </w:r>
      <w:r w:rsidRPr="002974BE">
        <w:rPr>
          <w:rFonts w:cstheme="minorHAnsi"/>
        </w:rPr>
        <w:fldChar w:fldCharType="separate"/>
      </w:r>
      <w:r w:rsidR="004D01B9" w:rsidRPr="004D01B9">
        <w:rPr>
          <w:rFonts w:ascii="Calibri" w:hAnsi="Calibri" w:cs="Calibri"/>
        </w:rPr>
        <w:t>1.</w:t>
      </w:r>
      <w:r w:rsidR="004D01B9" w:rsidRPr="004D01B9">
        <w:rPr>
          <w:rFonts w:ascii="Calibri" w:hAnsi="Calibri" w:cs="Calibri"/>
        </w:rPr>
        <w:tab/>
        <w:t xml:space="preserve">Lu R, Wu X, </w:t>
      </w:r>
      <w:proofErr w:type="spellStart"/>
      <w:r w:rsidR="004D01B9" w:rsidRPr="004D01B9">
        <w:rPr>
          <w:rFonts w:ascii="Calibri" w:hAnsi="Calibri" w:cs="Calibri"/>
        </w:rPr>
        <w:t>Wan</w:t>
      </w:r>
      <w:proofErr w:type="spellEnd"/>
      <w:r w:rsidR="004D01B9" w:rsidRPr="004D01B9">
        <w:rPr>
          <w:rFonts w:ascii="Calibri" w:hAnsi="Calibri" w:cs="Calibri"/>
        </w:rPr>
        <w:t xml:space="preserve"> Z, Li Y, Jin X, Zhang C. A Novel Reverse </w:t>
      </w:r>
      <w:proofErr w:type="spellStart"/>
      <w:r w:rsidR="004D01B9" w:rsidRPr="004D01B9">
        <w:rPr>
          <w:rFonts w:ascii="Calibri" w:hAnsi="Calibri" w:cs="Calibri"/>
        </w:rPr>
        <w:t>Transcription</w:t>
      </w:r>
      <w:proofErr w:type="spellEnd"/>
      <w:r w:rsidR="004D01B9" w:rsidRPr="004D01B9">
        <w:rPr>
          <w:rFonts w:ascii="Calibri" w:hAnsi="Calibri" w:cs="Calibri"/>
        </w:rPr>
        <w:t xml:space="preserve"> </w:t>
      </w:r>
      <w:proofErr w:type="spellStart"/>
      <w:r w:rsidR="004D01B9" w:rsidRPr="004D01B9">
        <w:rPr>
          <w:rFonts w:ascii="Calibri" w:hAnsi="Calibri" w:cs="Calibri"/>
        </w:rPr>
        <w:t>Loop-Mediated</w:t>
      </w:r>
      <w:proofErr w:type="spellEnd"/>
      <w:r w:rsidR="004D01B9" w:rsidRPr="004D01B9">
        <w:rPr>
          <w:rFonts w:ascii="Calibri" w:hAnsi="Calibri" w:cs="Calibri"/>
        </w:rPr>
        <w:t xml:space="preserve"> </w:t>
      </w:r>
      <w:proofErr w:type="spellStart"/>
      <w:r w:rsidR="004D01B9" w:rsidRPr="004D01B9">
        <w:rPr>
          <w:rFonts w:ascii="Calibri" w:hAnsi="Calibri" w:cs="Calibri"/>
        </w:rPr>
        <w:t>Isothermal</w:t>
      </w:r>
      <w:proofErr w:type="spellEnd"/>
      <w:r w:rsidR="004D01B9" w:rsidRPr="004D01B9">
        <w:rPr>
          <w:rFonts w:ascii="Calibri" w:hAnsi="Calibri" w:cs="Calibri"/>
        </w:rPr>
        <w:t xml:space="preserve"> </w:t>
      </w:r>
      <w:proofErr w:type="spellStart"/>
      <w:r w:rsidR="004D01B9" w:rsidRPr="004D01B9">
        <w:rPr>
          <w:rFonts w:ascii="Calibri" w:hAnsi="Calibri" w:cs="Calibri"/>
        </w:rPr>
        <w:t>Amplification</w:t>
      </w:r>
      <w:proofErr w:type="spellEnd"/>
      <w:r w:rsidR="004D01B9" w:rsidRPr="004D01B9">
        <w:rPr>
          <w:rFonts w:ascii="Calibri" w:hAnsi="Calibri" w:cs="Calibri"/>
        </w:rPr>
        <w:t xml:space="preserve"> </w:t>
      </w:r>
      <w:proofErr w:type="spellStart"/>
      <w:r w:rsidR="004D01B9" w:rsidRPr="004D01B9">
        <w:rPr>
          <w:rFonts w:ascii="Calibri" w:hAnsi="Calibri" w:cs="Calibri"/>
        </w:rPr>
        <w:t>Method</w:t>
      </w:r>
      <w:proofErr w:type="spellEnd"/>
      <w:r w:rsidR="004D01B9" w:rsidRPr="004D01B9">
        <w:rPr>
          <w:rFonts w:ascii="Calibri" w:hAnsi="Calibri" w:cs="Calibri"/>
        </w:rPr>
        <w:t xml:space="preserve"> </w:t>
      </w:r>
      <w:proofErr w:type="spellStart"/>
      <w:r w:rsidR="004D01B9" w:rsidRPr="004D01B9">
        <w:rPr>
          <w:rFonts w:ascii="Calibri" w:hAnsi="Calibri" w:cs="Calibri"/>
        </w:rPr>
        <w:t>for</w:t>
      </w:r>
      <w:proofErr w:type="spellEnd"/>
      <w:r w:rsidR="004D01B9" w:rsidRPr="004D01B9">
        <w:rPr>
          <w:rFonts w:ascii="Calibri" w:hAnsi="Calibri" w:cs="Calibri"/>
        </w:rPr>
        <w:t xml:space="preserve"> Rapid </w:t>
      </w:r>
      <w:proofErr w:type="spellStart"/>
      <w:r w:rsidR="004D01B9" w:rsidRPr="004D01B9">
        <w:rPr>
          <w:rFonts w:ascii="Calibri" w:hAnsi="Calibri" w:cs="Calibri"/>
        </w:rPr>
        <w:t>Detection</w:t>
      </w:r>
      <w:proofErr w:type="spellEnd"/>
      <w:r w:rsidR="004D01B9" w:rsidRPr="004D01B9">
        <w:rPr>
          <w:rFonts w:ascii="Calibri" w:hAnsi="Calibri" w:cs="Calibri"/>
        </w:rPr>
        <w:t xml:space="preserve"> </w:t>
      </w:r>
      <w:proofErr w:type="spellStart"/>
      <w:r w:rsidR="004D01B9" w:rsidRPr="004D01B9">
        <w:rPr>
          <w:rFonts w:ascii="Calibri" w:hAnsi="Calibri" w:cs="Calibri"/>
        </w:rPr>
        <w:t>of</w:t>
      </w:r>
      <w:proofErr w:type="spellEnd"/>
      <w:r w:rsidR="004D01B9" w:rsidRPr="004D01B9">
        <w:rPr>
          <w:rFonts w:ascii="Calibri" w:hAnsi="Calibri" w:cs="Calibri"/>
        </w:rPr>
        <w:t xml:space="preserve"> SARS-CoV-2. </w:t>
      </w:r>
      <w:proofErr w:type="spellStart"/>
      <w:r w:rsidR="004D01B9" w:rsidRPr="004D01B9">
        <w:rPr>
          <w:rFonts w:ascii="Calibri" w:hAnsi="Calibri" w:cs="Calibri"/>
        </w:rPr>
        <w:t>Int</w:t>
      </w:r>
      <w:proofErr w:type="spellEnd"/>
      <w:r w:rsidR="004D01B9" w:rsidRPr="004D01B9">
        <w:rPr>
          <w:rFonts w:ascii="Calibri" w:hAnsi="Calibri" w:cs="Calibri"/>
        </w:rPr>
        <w:t xml:space="preserve"> J Mol </w:t>
      </w:r>
      <w:proofErr w:type="spellStart"/>
      <w:r w:rsidR="004D01B9" w:rsidRPr="004D01B9">
        <w:rPr>
          <w:rFonts w:ascii="Calibri" w:hAnsi="Calibri" w:cs="Calibri"/>
        </w:rPr>
        <w:t>Sci</w:t>
      </w:r>
      <w:proofErr w:type="spellEnd"/>
      <w:r w:rsidR="004D01B9" w:rsidRPr="004D01B9">
        <w:rPr>
          <w:rFonts w:ascii="Calibri" w:hAnsi="Calibri" w:cs="Calibri"/>
        </w:rPr>
        <w:t xml:space="preserve">. 18 de abril de 2020;21(8). </w:t>
      </w:r>
    </w:p>
    <w:p w14:paraId="502363E9" w14:textId="77777777" w:rsidR="004D01B9" w:rsidRPr="004D01B9" w:rsidRDefault="004D01B9" w:rsidP="004D01B9">
      <w:pPr>
        <w:pStyle w:val="Bibliografa"/>
        <w:jc w:val="both"/>
        <w:rPr>
          <w:rFonts w:ascii="Calibri" w:hAnsi="Calibri" w:cs="Calibri"/>
        </w:rPr>
      </w:pPr>
      <w:r w:rsidRPr="004D01B9">
        <w:rPr>
          <w:rFonts w:ascii="Calibri" w:hAnsi="Calibri" w:cs="Calibri"/>
        </w:rPr>
        <w:t>2.</w:t>
      </w:r>
      <w:r w:rsidRPr="004D01B9">
        <w:rPr>
          <w:rFonts w:ascii="Calibri" w:hAnsi="Calibri" w:cs="Calibri"/>
        </w:rPr>
        <w:tab/>
      </w:r>
      <w:proofErr w:type="spellStart"/>
      <w:r w:rsidRPr="004D01B9">
        <w:rPr>
          <w:rFonts w:ascii="Calibri" w:hAnsi="Calibri" w:cs="Calibri"/>
        </w:rPr>
        <w:t>Coronaviridae</w:t>
      </w:r>
      <w:proofErr w:type="spellEnd"/>
      <w:r w:rsidRPr="004D01B9">
        <w:rPr>
          <w:rFonts w:ascii="Calibri" w:hAnsi="Calibri" w:cs="Calibri"/>
        </w:rPr>
        <w:t xml:space="preserve"> </w:t>
      </w:r>
      <w:proofErr w:type="spellStart"/>
      <w:r w:rsidRPr="004D01B9">
        <w:rPr>
          <w:rFonts w:ascii="Calibri" w:hAnsi="Calibri" w:cs="Calibri"/>
        </w:rPr>
        <w:t>Study</w:t>
      </w:r>
      <w:proofErr w:type="spellEnd"/>
      <w:r w:rsidRPr="004D01B9">
        <w:rPr>
          <w:rFonts w:ascii="Calibri" w:hAnsi="Calibri" w:cs="Calibri"/>
        </w:rPr>
        <w:t xml:space="preserve"> Group </w:t>
      </w:r>
      <w:proofErr w:type="spellStart"/>
      <w:r w:rsidRPr="004D01B9">
        <w:rPr>
          <w:rFonts w:ascii="Calibri" w:hAnsi="Calibri" w:cs="Calibri"/>
        </w:rPr>
        <w:t>of</w:t>
      </w:r>
      <w:proofErr w:type="spellEnd"/>
      <w:r w:rsidRPr="004D01B9">
        <w:rPr>
          <w:rFonts w:ascii="Calibri" w:hAnsi="Calibri" w:cs="Calibri"/>
        </w:rPr>
        <w:t xml:space="preserve"> </w:t>
      </w:r>
      <w:proofErr w:type="spellStart"/>
      <w:r w:rsidRPr="004D01B9">
        <w:rPr>
          <w:rFonts w:ascii="Calibri" w:hAnsi="Calibri" w:cs="Calibri"/>
        </w:rPr>
        <w:t>the</w:t>
      </w:r>
      <w:proofErr w:type="spellEnd"/>
      <w:r w:rsidRPr="004D01B9">
        <w:rPr>
          <w:rFonts w:ascii="Calibri" w:hAnsi="Calibri" w:cs="Calibri"/>
        </w:rPr>
        <w:t xml:space="preserve"> International </w:t>
      </w:r>
      <w:proofErr w:type="spellStart"/>
      <w:r w:rsidRPr="004D01B9">
        <w:rPr>
          <w:rFonts w:ascii="Calibri" w:hAnsi="Calibri" w:cs="Calibri"/>
        </w:rPr>
        <w:t>Committee</w:t>
      </w:r>
      <w:proofErr w:type="spellEnd"/>
      <w:r w:rsidRPr="004D01B9">
        <w:rPr>
          <w:rFonts w:ascii="Calibri" w:hAnsi="Calibri" w:cs="Calibri"/>
        </w:rPr>
        <w:t xml:space="preserve"> </w:t>
      </w:r>
      <w:proofErr w:type="spellStart"/>
      <w:r w:rsidRPr="004D01B9">
        <w:rPr>
          <w:rFonts w:ascii="Calibri" w:hAnsi="Calibri" w:cs="Calibri"/>
        </w:rPr>
        <w:t>on</w:t>
      </w:r>
      <w:proofErr w:type="spellEnd"/>
      <w:r w:rsidRPr="004D01B9">
        <w:rPr>
          <w:rFonts w:ascii="Calibri" w:hAnsi="Calibri" w:cs="Calibri"/>
        </w:rPr>
        <w:t xml:space="preserve"> </w:t>
      </w:r>
      <w:proofErr w:type="spellStart"/>
      <w:r w:rsidRPr="004D01B9">
        <w:rPr>
          <w:rFonts w:ascii="Calibri" w:hAnsi="Calibri" w:cs="Calibri"/>
        </w:rPr>
        <w:t>Taxonomy</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w:t>
      </w:r>
      <w:proofErr w:type="spellStart"/>
      <w:r w:rsidRPr="004D01B9">
        <w:rPr>
          <w:rFonts w:ascii="Calibri" w:hAnsi="Calibri" w:cs="Calibri"/>
        </w:rPr>
        <w:t>Viruses</w:t>
      </w:r>
      <w:proofErr w:type="spellEnd"/>
      <w:r w:rsidRPr="004D01B9">
        <w:rPr>
          <w:rFonts w:ascii="Calibri" w:hAnsi="Calibri" w:cs="Calibri"/>
        </w:rPr>
        <w:t xml:space="preserve">. </w:t>
      </w:r>
      <w:proofErr w:type="spellStart"/>
      <w:r w:rsidRPr="004D01B9">
        <w:rPr>
          <w:rFonts w:ascii="Calibri" w:hAnsi="Calibri" w:cs="Calibri"/>
        </w:rPr>
        <w:t>The</w:t>
      </w:r>
      <w:proofErr w:type="spellEnd"/>
      <w:r w:rsidRPr="004D01B9">
        <w:rPr>
          <w:rFonts w:ascii="Calibri" w:hAnsi="Calibri" w:cs="Calibri"/>
        </w:rPr>
        <w:t xml:space="preserve"> </w:t>
      </w:r>
      <w:proofErr w:type="spellStart"/>
      <w:r w:rsidRPr="004D01B9">
        <w:rPr>
          <w:rFonts w:ascii="Calibri" w:hAnsi="Calibri" w:cs="Calibri"/>
        </w:rPr>
        <w:t>species</w:t>
      </w:r>
      <w:proofErr w:type="spellEnd"/>
      <w:r w:rsidRPr="004D01B9">
        <w:rPr>
          <w:rFonts w:ascii="Calibri" w:hAnsi="Calibri" w:cs="Calibri"/>
        </w:rPr>
        <w:t xml:space="preserve"> Severe acute </w:t>
      </w:r>
      <w:proofErr w:type="spellStart"/>
      <w:r w:rsidRPr="004D01B9">
        <w:rPr>
          <w:rFonts w:ascii="Calibri" w:hAnsi="Calibri" w:cs="Calibri"/>
        </w:rPr>
        <w:t>respiratory</w:t>
      </w:r>
      <w:proofErr w:type="spellEnd"/>
      <w:r w:rsidRPr="004D01B9">
        <w:rPr>
          <w:rFonts w:ascii="Calibri" w:hAnsi="Calibri" w:cs="Calibri"/>
        </w:rPr>
        <w:t xml:space="preserve"> </w:t>
      </w:r>
      <w:proofErr w:type="spellStart"/>
      <w:r w:rsidRPr="004D01B9">
        <w:rPr>
          <w:rFonts w:ascii="Calibri" w:hAnsi="Calibri" w:cs="Calibri"/>
        </w:rPr>
        <w:t>syndrome-related</w:t>
      </w:r>
      <w:proofErr w:type="spellEnd"/>
      <w:r w:rsidRPr="004D01B9">
        <w:rPr>
          <w:rFonts w:ascii="Calibri" w:hAnsi="Calibri" w:cs="Calibri"/>
        </w:rPr>
        <w:t xml:space="preserve"> coronavirus: </w:t>
      </w:r>
      <w:proofErr w:type="spellStart"/>
      <w:r w:rsidRPr="004D01B9">
        <w:rPr>
          <w:rFonts w:ascii="Calibri" w:hAnsi="Calibri" w:cs="Calibri"/>
        </w:rPr>
        <w:t>classifying</w:t>
      </w:r>
      <w:proofErr w:type="spellEnd"/>
      <w:r w:rsidRPr="004D01B9">
        <w:rPr>
          <w:rFonts w:ascii="Calibri" w:hAnsi="Calibri" w:cs="Calibri"/>
        </w:rPr>
        <w:t xml:space="preserve"> 2019-nCoV and </w:t>
      </w:r>
      <w:proofErr w:type="spellStart"/>
      <w:r w:rsidRPr="004D01B9">
        <w:rPr>
          <w:rFonts w:ascii="Calibri" w:hAnsi="Calibri" w:cs="Calibri"/>
        </w:rPr>
        <w:t>naming</w:t>
      </w:r>
      <w:proofErr w:type="spellEnd"/>
      <w:r w:rsidRPr="004D01B9">
        <w:rPr>
          <w:rFonts w:ascii="Calibri" w:hAnsi="Calibri" w:cs="Calibri"/>
        </w:rPr>
        <w:t xml:space="preserve"> </w:t>
      </w:r>
      <w:proofErr w:type="spellStart"/>
      <w:r w:rsidRPr="004D01B9">
        <w:rPr>
          <w:rFonts w:ascii="Calibri" w:hAnsi="Calibri" w:cs="Calibri"/>
        </w:rPr>
        <w:t>it</w:t>
      </w:r>
      <w:proofErr w:type="spellEnd"/>
      <w:r w:rsidRPr="004D01B9">
        <w:rPr>
          <w:rFonts w:ascii="Calibri" w:hAnsi="Calibri" w:cs="Calibri"/>
        </w:rPr>
        <w:t xml:space="preserve"> SARS-CoV-2. </w:t>
      </w:r>
      <w:proofErr w:type="spellStart"/>
      <w:r w:rsidRPr="004D01B9">
        <w:rPr>
          <w:rFonts w:ascii="Calibri" w:hAnsi="Calibri" w:cs="Calibri"/>
        </w:rPr>
        <w:t>Nat</w:t>
      </w:r>
      <w:proofErr w:type="spellEnd"/>
      <w:r w:rsidRPr="004D01B9">
        <w:rPr>
          <w:rFonts w:ascii="Calibri" w:hAnsi="Calibri" w:cs="Calibri"/>
        </w:rPr>
        <w:t xml:space="preserve"> </w:t>
      </w:r>
      <w:proofErr w:type="spellStart"/>
      <w:r w:rsidRPr="004D01B9">
        <w:rPr>
          <w:rFonts w:ascii="Calibri" w:hAnsi="Calibri" w:cs="Calibri"/>
        </w:rPr>
        <w:t>Microbiol</w:t>
      </w:r>
      <w:proofErr w:type="spellEnd"/>
      <w:r w:rsidRPr="004D01B9">
        <w:rPr>
          <w:rFonts w:ascii="Calibri" w:hAnsi="Calibri" w:cs="Calibri"/>
        </w:rPr>
        <w:t xml:space="preserve">. abril de 2020;5(4):536-44. </w:t>
      </w:r>
    </w:p>
    <w:p w14:paraId="78BCB377" w14:textId="77777777" w:rsidR="004D01B9" w:rsidRPr="004D01B9" w:rsidRDefault="004D01B9" w:rsidP="004D01B9">
      <w:pPr>
        <w:pStyle w:val="Bibliografa"/>
        <w:jc w:val="both"/>
        <w:rPr>
          <w:rFonts w:ascii="Calibri" w:hAnsi="Calibri" w:cs="Calibri"/>
        </w:rPr>
      </w:pPr>
      <w:r w:rsidRPr="004D01B9">
        <w:rPr>
          <w:rFonts w:ascii="Calibri" w:hAnsi="Calibri" w:cs="Calibri"/>
        </w:rPr>
        <w:t>3.</w:t>
      </w:r>
      <w:r w:rsidRPr="004D01B9">
        <w:rPr>
          <w:rFonts w:ascii="Calibri" w:hAnsi="Calibri" w:cs="Calibri"/>
        </w:rPr>
        <w:tab/>
      </w:r>
      <w:proofErr w:type="spellStart"/>
      <w:r w:rsidRPr="004D01B9">
        <w:rPr>
          <w:rFonts w:ascii="Calibri" w:hAnsi="Calibri" w:cs="Calibri"/>
        </w:rPr>
        <w:t>V’kovski</w:t>
      </w:r>
      <w:proofErr w:type="spellEnd"/>
      <w:r w:rsidRPr="004D01B9">
        <w:rPr>
          <w:rFonts w:ascii="Calibri" w:hAnsi="Calibri" w:cs="Calibri"/>
        </w:rPr>
        <w:t xml:space="preserve"> P, </w:t>
      </w:r>
      <w:proofErr w:type="spellStart"/>
      <w:r w:rsidRPr="004D01B9">
        <w:rPr>
          <w:rFonts w:ascii="Calibri" w:hAnsi="Calibri" w:cs="Calibri"/>
        </w:rPr>
        <w:t>Kratzel</w:t>
      </w:r>
      <w:proofErr w:type="spellEnd"/>
      <w:r w:rsidRPr="004D01B9">
        <w:rPr>
          <w:rFonts w:ascii="Calibri" w:hAnsi="Calibri" w:cs="Calibri"/>
        </w:rPr>
        <w:t xml:space="preserve"> A, Steiner S, </w:t>
      </w:r>
      <w:proofErr w:type="spellStart"/>
      <w:r w:rsidRPr="004D01B9">
        <w:rPr>
          <w:rFonts w:ascii="Calibri" w:hAnsi="Calibri" w:cs="Calibri"/>
        </w:rPr>
        <w:t>Stalder</w:t>
      </w:r>
      <w:proofErr w:type="spellEnd"/>
      <w:r w:rsidRPr="004D01B9">
        <w:rPr>
          <w:rFonts w:ascii="Calibri" w:hAnsi="Calibri" w:cs="Calibri"/>
        </w:rPr>
        <w:t xml:space="preserve"> H, Thiel V. Coronavirus </w:t>
      </w:r>
      <w:proofErr w:type="spellStart"/>
      <w:r w:rsidRPr="004D01B9">
        <w:rPr>
          <w:rFonts w:ascii="Calibri" w:hAnsi="Calibri" w:cs="Calibri"/>
        </w:rPr>
        <w:t>biology</w:t>
      </w:r>
      <w:proofErr w:type="spellEnd"/>
      <w:r w:rsidRPr="004D01B9">
        <w:rPr>
          <w:rFonts w:ascii="Calibri" w:hAnsi="Calibri" w:cs="Calibri"/>
        </w:rPr>
        <w:t xml:space="preserve"> and </w:t>
      </w:r>
      <w:proofErr w:type="spellStart"/>
      <w:r w:rsidRPr="004D01B9">
        <w:rPr>
          <w:rFonts w:ascii="Calibri" w:hAnsi="Calibri" w:cs="Calibri"/>
        </w:rPr>
        <w:t>replication</w:t>
      </w:r>
      <w:proofErr w:type="spellEnd"/>
      <w:r w:rsidRPr="004D01B9">
        <w:rPr>
          <w:rFonts w:ascii="Calibri" w:hAnsi="Calibri" w:cs="Calibri"/>
        </w:rPr>
        <w:t xml:space="preserve">: </w:t>
      </w:r>
      <w:proofErr w:type="spellStart"/>
      <w:r w:rsidRPr="004D01B9">
        <w:rPr>
          <w:rFonts w:ascii="Calibri" w:hAnsi="Calibri" w:cs="Calibri"/>
        </w:rPr>
        <w:t>implications</w:t>
      </w:r>
      <w:proofErr w:type="spellEnd"/>
      <w:r w:rsidRPr="004D01B9">
        <w:rPr>
          <w:rFonts w:ascii="Calibri" w:hAnsi="Calibri" w:cs="Calibri"/>
        </w:rPr>
        <w:t xml:space="preserve"> </w:t>
      </w:r>
      <w:proofErr w:type="spellStart"/>
      <w:r w:rsidRPr="004D01B9">
        <w:rPr>
          <w:rFonts w:ascii="Calibri" w:hAnsi="Calibri" w:cs="Calibri"/>
        </w:rPr>
        <w:t>for</w:t>
      </w:r>
      <w:proofErr w:type="spellEnd"/>
      <w:r w:rsidRPr="004D01B9">
        <w:rPr>
          <w:rFonts w:ascii="Calibri" w:hAnsi="Calibri" w:cs="Calibri"/>
        </w:rPr>
        <w:t xml:space="preserve"> SARS-CoV-2. </w:t>
      </w:r>
      <w:proofErr w:type="spellStart"/>
      <w:r w:rsidRPr="004D01B9">
        <w:rPr>
          <w:rFonts w:ascii="Calibri" w:hAnsi="Calibri" w:cs="Calibri"/>
        </w:rPr>
        <w:t>Nat</w:t>
      </w:r>
      <w:proofErr w:type="spellEnd"/>
      <w:r w:rsidRPr="004D01B9">
        <w:rPr>
          <w:rFonts w:ascii="Calibri" w:hAnsi="Calibri" w:cs="Calibri"/>
        </w:rPr>
        <w:t xml:space="preserve"> </w:t>
      </w:r>
      <w:proofErr w:type="spellStart"/>
      <w:r w:rsidRPr="004D01B9">
        <w:rPr>
          <w:rFonts w:ascii="Calibri" w:hAnsi="Calibri" w:cs="Calibri"/>
        </w:rPr>
        <w:t>Rev</w:t>
      </w:r>
      <w:proofErr w:type="spellEnd"/>
      <w:r w:rsidRPr="004D01B9">
        <w:rPr>
          <w:rFonts w:ascii="Calibri" w:hAnsi="Calibri" w:cs="Calibri"/>
        </w:rPr>
        <w:t xml:space="preserve"> </w:t>
      </w:r>
      <w:proofErr w:type="spellStart"/>
      <w:r w:rsidRPr="004D01B9">
        <w:rPr>
          <w:rFonts w:ascii="Calibri" w:hAnsi="Calibri" w:cs="Calibri"/>
        </w:rPr>
        <w:t>Microbiol</w:t>
      </w:r>
      <w:proofErr w:type="spellEnd"/>
      <w:r w:rsidRPr="004D01B9">
        <w:rPr>
          <w:rFonts w:ascii="Calibri" w:hAnsi="Calibri" w:cs="Calibri"/>
        </w:rPr>
        <w:t xml:space="preserve">. marzo de 2021;19(3):155-70. </w:t>
      </w:r>
    </w:p>
    <w:p w14:paraId="7A3DC38E" w14:textId="77777777" w:rsidR="004D01B9" w:rsidRPr="004D01B9" w:rsidRDefault="004D01B9" w:rsidP="004D01B9">
      <w:pPr>
        <w:pStyle w:val="Bibliografa"/>
        <w:jc w:val="both"/>
        <w:rPr>
          <w:rFonts w:ascii="Calibri" w:hAnsi="Calibri" w:cs="Calibri"/>
        </w:rPr>
      </w:pPr>
      <w:r w:rsidRPr="004D01B9">
        <w:rPr>
          <w:rFonts w:ascii="Calibri" w:hAnsi="Calibri" w:cs="Calibri"/>
        </w:rPr>
        <w:t>4.</w:t>
      </w:r>
      <w:r w:rsidRPr="004D01B9">
        <w:rPr>
          <w:rFonts w:ascii="Calibri" w:hAnsi="Calibri" w:cs="Calibri"/>
        </w:rPr>
        <w:tab/>
      </w:r>
      <w:proofErr w:type="spellStart"/>
      <w:r w:rsidRPr="004D01B9">
        <w:rPr>
          <w:rFonts w:ascii="Calibri" w:hAnsi="Calibri" w:cs="Calibri"/>
        </w:rPr>
        <w:t>Gadi</w:t>
      </w:r>
      <w:proofErr w:type="spellEnd"/>
      <w:r w:rsidRPr="004D01B9">
        <w:rPr>
          <w:rFonts w:ascii="Calibri" w:hAnsi="Calibri" w:cs="Calibri"/>
        </w:rPr>
        <w:t xml:space="preserve"> N, Wu SC, </w:t>
      </w:r>
      <w:proofErr w:type="spellStart"/>
      <w:r w:rsidRPr="004D01B9">
        <w:rPr>
          <w:rFonts w:ascii="Calibri" w:hAnsi="Calibri" w:cs="Calibri"/>
        </w:rPr>
        <w:t>Spihlman</w:t>
      </w:r>
      <w:proofErr w:type="spellEnd"/>
      <w:r w:rsidRPr="004D01B9">
        <w:rPr>
          <w:rFonts w:ascii="Calibri" w:hAnsi="Calibri" w:cs="Calibri"/>
        </w:rPr>
        <w:t xml:space="preserve"> AP, </w:t>
      </w:r>
      <w:proofErr w:type="spellStart"/>
      <w:r w:rsidRPr="004D01B9">
        <w:rPr>
          <w:rFonts w:ascii="Calibri" w:hAnsi="Calibri" w:cs="Calibri"/>
        </w:rPr>
        <w:t>Moulton</w:t>
      </w:r>
      <w:proofErr w:type="spellEnd"/>
      <w:r w:rsidRPr="004D01B9">
        <w:rPr>
          <w:rFonts w:ascii="Calibri" w:hAnsi="Calibri" w:cs="Calibri"/>
        </w:rPr>
        <w:t xml:space="preserve"> VR. </w:t>
      </w:r>
      <w:proofErr w:type="spellStart"/>
      <w:r w:rsidRPr="004D01B9">
        <w:rPr>
          <w:rFonts w:ascii="Calibri" w:hAnsi="Calibri" w:cs="Calibri"/>
        </w:rPr>
        <w:t>What’s</w:t>
      </w:r>
      <w:proofErr w:type="spellEnd"/>
      <w:r w:rsidRPr="004D01B9">
        <w:rPr>
          <w:rFonts w:ascii="Calibri" w:hAnsi="Calibri" w:cs="Calibri"/>
        </w:rPr>
        <w:t xml:space="preserve"> Sex </w:t>
      </w:r>
      <w:proofErr w:type="spellStart"/>
      <w:r w:rsidRPr="004D01B9">
        <w:rPr>
          <w:rFonts w:ascii="Calibri" w:hAnsi="Calibri" w:cs="Calibri"/>
        </w:rPr>
        <w:t>Got</w:t>
      </w:r>
      <w:proofErr w:type="spellEnd"/>
      <w:r w:rsidRPr="004D01B9">
        <w:rPr>
          <w:rFonts w:ascii="Calibri" w:hAnsi="Calibri" w:cs="Calibri"/>
        </w:rPr>
        <w:t xml:space="preserve"> </w:t>
      </w:r>
      <w:proofErr w:type="spellStart"/>
      <w:r w:rsidRPr="004D01B9">
        <w:rPr>
          <w:rFonts w:ascii="Calibri" w:hAnsi="Calibri" w:cs="Calibri"/>
        </w:rPr>
        <w:t>to</w:t>
      </w:r>
      <w:proofErr w:type="spellEnd"/>
      <w:r w:rsidRPr="004D01B9">
        <w:rPr>
          <w:rFonts w:ascii="Calibri" w:hAnsi="Calibri" w:cs="Calibri"/>
        </w:rPr>
        <w:t xml:space="preserve"> Do </w:t>
      </w:r>
      <w:proofErr w:type="spellStart"/>
      <w:r w:rsidRPr="004D01B9">
        <w:rPr>
          <w:rFonts w:ascii="Calibri" w:hAnsi="Calibri" w:cs="Calibri"/>
        </w:rPr>
        <w:t>With</w:t>
      </w:r>
      <w:proofErr w:type="spellEnd"/>
      <w:r w:rsidRPr="004D01B9">
        <w:rPr>
          <w:rFonts w:ascii="Calibri" w:hAnsi="Calibri" w:cs="Calibri"/>
        </w:rPr>
        <w:t xml:space="preserve"> COVID-19? </w:t>
      </w:r>
      <w:proofErr w:type="spellStart"/>
      <w:r w:rsidRPr="004D01B9">
        <w:rPr>
          <w:rFonts w:ascii="Calibri" w:hAnsi="Calibri" w:cs="Calibri"/>
        </w:rPr>
        <w:t>Gender-Based</w:t>
      </w:r>
      <w:proofErr w:type="spellEnd"/>
      <w:r w:rsidRPr="004D01B9">
        <w:rPr>
          <w:rFonts w:ascii="Calibri" w:hAnsi="Calibri" w:cs="Calibri"/>
        </w:rPr>
        <w:t xml:space="preserve"> </w:t>
      </w:r>
      <w:proofErr w:type="spellStart"/>
      <w:r w:rsidRPr="004D01B9">
        <w:rPr>
          <w:rFonts w:ascii="Calibri" w:hAnsi="Calibri" w:cs="Calibri"/>
        </w:rPr>
        <w:t>Differences</w:t>
      </w:r>
      <w:proofErr w:type="spellEnd"/>
      <w:r w:rsidRPr="004D01B9">
        <w:rPr>
          <w:rFonts w:ascii="Calibri" w:hAnsi="Calibri" w:cs="Calibri"/>
        </w:rPr>
        <w:t xml:space="preserve"> in </w:t>
      </w:r>
      <w:proofErr w:type="spellStart"/>
      <w:r w:rsidRPr="004D01B9">
        <w:rPr>
          <w:rFonts w:ascii="Calibri" w:hAnsi="Calibri" w:cs="Calibri"/>
        </w:rPr>
        <w:t>the</w:t>
      </w:r>
      <w:proofErr w:type="spellEnd"/>
      <w:r w:rsidRPr="004D01B9">
        <w:rPr>
          <w:rFonts w:ascii="Calibri" w:hAnsi="Calibri" w:cs="Calibri"/>
        </w:rPr>
        <w:t xml:space="preserve"> Host </w:t>
      </w:r>
      <w:proofErr w:type="spellStart"/>
      <w:r w:rsidRPr="004D01B9">
        <w:rPr>
          <w:rFonts w:ascii="Calibri" w:hAnsi="Calibri" w:cs="Calibri"/>
        </w:rPr>
        <w:t>Immune</w:t>
      </w:r>
      <w:proofErr w:type="spellEnd"/>
      <w:r w:rsidRPr="004D01B9">
        <w:rPr>
          <w:rFonts w:ascii="Calibri" w:hAnsi="Calibri" w:cs="Calibri"/>
        </w:rPr>
        <w:t xml:space="preserve"> Response </w:t>
      </w:r>
      <w:proofErr w:type="spellStart"/>
      <w:r w:rsidRPr="004D01B9">
        <w:rPr>
          <w:rFonts w:ascii="Calibri" w:hAnsi="Calibri" w:cs="Calibri"/>
        </w:rPr>
        <w:t>to</w:t>
      </w:r>
      <w:proofErr w:type="spellEnd"/>
      <w:r w:rsidRPr="004D01B9">
        <w:rPr>
          <w:rFonts w:ascii="Calibri" w:hAnsi="Calibri" w:cs="Calibri"/>
        </w:rPr>
        <w:t xml:space="preserve"> </w:t>
      </w:r>
      <w:proofErr w:type="spellStart"/>
      <w:r w:rsidRPr="004D01B9">
        <w:rPr>
          <w:rFonts w:ascii="Calibri" w:hAnsi="Calibri" w:cs="Calibri"/>
        </w:rPr>
        <w:t>Coronaviruses</w:t>
      </w:r>
      <w:proofErr w:type="spellEnd"/>
      <w:r w:rsidRPr="004D01B9">
        <w:rPr>
          <w:rFonts w:ascii="Calibri" w:hAnsi="Calibri" w:cs="Calibri"/>
        </w:rPr>
        <w:t xml:space="preserve">. Front </w:t>
      </w:r>
      <w:proofErr w:type="spellStart"/>
      <w:r w:rsidRPr="004D01B9">
        <w:rPr>
          <w:rFonts w:ascii="Calibri" w:hAnsi="Calibri" w:cs="Calibri"/>
        </w:rPr>
        <w:t>Immunol</w:t>
      </w:r>
      <w:proofErr w:type="spellEnd"/>
      <w:r w:rsidRPr="004D01B9">
        <w:rPr>
          <w:rFonts w:ascii="Calibri" w:hAnsi="Calibri" w:cs="Calibri"/>
        </w:rPr>
        <w:t xml:space="preserve"> [Internet]. 28 de agosto de 2020 [citado 22 de marzo de 2023</w:t>
      </w:r>
      <w:proofErr w:type="gramStart"/>
      <w:r w:rsidRPr="004D01B9">
        <w:rPr>
          <w:rFonts w:ascii="Calibri" w:hAnsi="Calibri" w:cs="Calibri"/>
        </w:rPr>
        <w:t>];11:2147</w:t>
      </w:r>
      <w:proofErr w:type="gramEnd"/>
      <w:r w:rsidRPr="004D01B9">
        <w:rPr>
          <w:rFonts w:ascii="Calibri" w:hAnsi="Calibri" w:cs="Calibri"/>
        </w:rPr>
        <w:t>. Disponible en: https://www.ncbi.nlm.nih.gov/pmc/articles/PMC7485092/</w:t>
      </w:r>
    </w:p>
    <w:p w14:paraId="2E840B02" w14:textId="77777777" w:rsidR="004D01B9" w:rsidRPr="004D01B9" w:rsidRDefault="004D01B9" w:rsidP="004D01B9">
      <w:pPr>
        <w:pStyle w:val="Bibliografa"/>
        <w:jc w:val="both"/>
        <w:rPr>
          <w:rFonts w:ascii="Calibri" w:hAnsi="Calibri" w:cs="Calibri"/>
        </w:rPr>
      </w:pPr>
      <w:r w:rsidRPr="004D01B9">
        <w:rPr>
          <w:rFonts w:ascii="Calibri" w:hAnsi="Calibri" w:cs="Calibri"/>
        </w:rPr>
        <w:t>5.</w:t>
      </w:r>
      <w:r w:rsidRPr="004D01B9">
        <w:rPr>
          <w:rFonts w:ascii="Calibri" w:hAnsi="Calibri" w:cs="Calibri"/>
        </w:rPr>
        <w:tab/>
      </w:r>
      <w:proofErr w:type="spellStart"/>
      <w:r w:rsidRPr="004D01B9">
        <w:rPr>
          <w:rFonts w:ascii="Calibri" w:hAnsi="Calibri" w:cs="Calibri"/>
        </w:rPr>
        <w:t>Tay</w:t>
      </w:r>
      <w:proofErr w:type="spellEnd"/>
      <w:r w:rsidRPr="004D01B9">
        <w:rPr>
          <w:rFonts w:ascii="Calibri" w:hAnsi="Calibri" w:cs="Calibri"/>
        </w:rPr>
        <w:t xml:space="preserve"> MZ, </w:t>
      </w:r>
      <w:proofErr w:type="spellStart"/>
      <w:r w:rsidRPr="004D01B9">
        <w:rPr>
          <w:rFonts w:ascii="Calibri" w:hAnsi="Calibri" w:cs="Calibri"/>
        </w:rPr>
        <w:t>Poh</w:t>
      </w:r>
      <w:proofErr w:type="spellEnd"/>
      <w:r w:rsidRPr="004D01B9">
        <w:rPr>
          <w:rFonts w:ascii="Calibri" w:hAnsi="Calibri" w:cs="Calibri"/>
        </w:rPr>
        <w:t xml:space="preserve"> CM, </w:t>
      </w:r>
      <w:proofErr w:type="spellStart"/>
      <w:r w:rsidRPr="004D01B9">
        <w:rPr>
          <w:rFonts w:ascii="Calibri" w:hAnsi="Calibri" w:cs="Calibri"/>
        </w:rPr>
        <w:t>Rénia</w:t>
      </w:r>
      <w:proofErr w:type="spellEnd"/>
      <w:r w:rsidRPr="004D01B9">
        <w:rPr>
          <w:rFonts w:ascii="Calibri" w:hAnsi="Calibri" w:cs="Calibri"/>
        </w:rPr>
        <w:t xml:space="preserve"> L, </w:t>
      </w:r>
      <w:proofErr w:type="spellStart"/>
      <w:r w:rsidRPr="004D01B9">
        <w:rPr>
          <w:rFonts w:ascii="Calibri" w:hAnsi="Calibri" w:cs="Calibri"/>
        </w:rPr>
        <w:t>MacAry</w:t>
      </w:r>
      <w:proofErr w:type="spellEnd"/>
      <w:r w:rsidRPr="004D01B9">
        <w:rPr>
          <w:rFonts w:ascii="Calibri" w:hAnsi="Calibri" w:cs="Calibri"/>
        </w:rPr>
        <w:t xml:space="preserve"> PA, Ng LFP. </w:t>
      </w:r>
      <w:proofErr w:type="spellStart"/>
      <w:r w:rsidRPr="004D01B9">
        <w:rPr>
          <w:rFonts w:ascii="Calibri" w:hAnsi="Calibri" w:cs="Calibri"/>
        </w:rPr>
        <w:t>The</w:t>
      </w:r>
      <w:proofErr w:type="spellEnd"/>
      <w:r w:rsidRPr="004D01B9">
        <w:rPr>
          <w:rFonts w:ascii="Calibri" w:hAnsi="Calibri" w:cs="Calibri"/>
        </w:rPr>
        <w:t xml:space="preserve"> </w:t>
      </w:r>
      <w:proofErr w:type="spellStart"/>
      <w:r w:rsidRPr="004D01B9">
        <w:rPr>
          <w:rFonts w:ascii="Calibri" w:hAnsi="Calibri" w:cs="Calibri"/>
        </w:rPr>
        <w:t>trinity</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COVID-19: </w:t>
      </w:r>
      <w:proofErr w:type="spellStart"/>
      <w:r w:rsidRPr="004D01B9">
        <w:rPr>
          <w:rFonts w:ascii="Calibri" w:hAnsi="Calibri" w:cs="Calibri"/>
        </w:rPr>
        <w:t>immunity</w:t>
      </w:r>
      <w:proofErr w:type="spellEnd"/>
      <w:r w:rsidRPr="004D01B9">
        <w:rPr>
          <w:rFonts w:ascii="Calibri" w:hAnsi="Calibri" w:cs="Calibri"/>
        </w:rPr>
        <w:t xml:space="preserve">, </w:t>
      </w:r>
      <w:proofErr w:type="spellStart"/>
      <w:r w:rsidRPr="004D01B9">
        <w:rPr>
          <w:rFonts w:ascii="Calibri" w:hAnsi="Calibri" w:cs="Calibri"/>
        </w:rPr>
        <w:t>inflammation</w:t>
      </w:r>
      <w:proofErr w:type="spellEnd"/>
      <w:r w:rsidRPr="004D01B9">
        <w:rPr>
          <w:rFonts w:ascii="Calibri" w:hAnsi="Calibri" w:cs="Calibri"/>
        </w:rPr>
        <w:t xml:space="preserve"> and </w:t>
      </w:r>
      <w:proofErr w:type="spellStart"/>
      <w:r w:rsidRPr="004D01B9">
        <w:rPr>
          <w:rFonts w:ascii="Calibri" w:hAnsi="Calibri" w:cs="Calibri"/>
        </w:rPr>
        <w:t>intervention</w:t>
      </w:r>
      <w:proofErr w:type="spellEnd"/>
      <w:r w:rsidRPr="004D01B9">
        <w:rPr>
          <w:rFonts w:ascii="Calibri" w:hAnsi="Calibri" w:cs="Calibri"/>
        </w:rPr>
        <w:t xml:space="preserve">. </w:t>
      </w:r>
      <w:proofErr w:type="spellStart"/>
      <w:r w:rsidRPr="004D01B9">
        <w:rPr>
          <w:rFonts w:ascii="Calibri" w:hAnsi="Calibri" w:cs="Calibri"/>
        </w:rPr>
        <w:t>Nat</w:t>
      </w:r>
      <w:proofErr w:type="spellEnd"/>
      <w:r w:rsidRPr="004D01B9">
        <w:rPr>
          <w:rFonts w:ascii="Calibri" w:hAnsi="Calibri" w:cs="Calibri"/>
        </w:rPr>
        <w:t xml:space="preserve"> </w:t>
      </w:r>
      <w:proofErr w:type="spellStart"/>
      <w:r w:rsidRPr="004D01B9">
        <w:rPr>
          <w:rFonts w:ascii="Calibri" w:hAnsi="Calibri" w:cs="Calibri"/>
        </w:rPr>
        <w:t>Rev</w:t>
      </w:r>
      <w:proofErr w:type="spellEnd"/>
      <w:r w:rsidRPr="004D01B9">
        <w:rPr>
          <w:rFonts w:ascii="Calibri" w:hAnsi="Calibri" w:cs="Calibri"/>
        </w:rPr>
        <w:t xml:space="preserve"> </w:t>
      </w:r>
      <w:proofErr w:type="spellStart"/>
      <w:r w:rsidRPr="004D01B9">
        <w:rPr>
          <w:rFonts w:ascii="Calibri" w:hAnsi="Calibri" w:cs="Calibri"/>
        </w:rPr>
        <w:t>Immunol</w:t>
      </w:r>
      <w:proofErr w:type="spellEnd"/>
      <w:r w:rsidRPr="004D01B9">
        <w:rPr>
          <w:rFonts w:ascii="Calibri" w:hAnsi="Calibri" w:cs="Calibri"/>
        </w:rPr>
        <w:t xml:space="preserve"> [Internet]. 2020 [citado 22 de marzo de 2023];20(6):363-74. Disponible en: https://www.ncbi.nlm.nih.gov/pmc/articles/PMC7187672/</w:t>
      </w:r>
    </w:p>
    <w:p w14:paraId="1AA71F46" w14:textId="77777777" w:rsidR="004D01B9" w:rsidRPr="004D01B9" w:rsidRDefault="004D01B9" w:rsidP="004D01B9">
      <w:pPr>
        <w:pStyle w:val="Bibliografa"/>
        <w:jc w:val="both"/>
        <w:rPr>
          <w:rFonts w:ascii="Calibri" w:hAnsi="Calibri" w:cs="Calibri"/>
        </w:rPr>
      </w:pPr>
      <w:r w:rsidRPr="004D01B9">
        <w:rPr>
          <w:rFonts w:ascii="Calibri" w:hAnsi="Calibri" w:cs="Calibri"/>
        </w:rPr>
        <w:t>6.</w:t>
      </w:r>
      <w:r w:rsidRPr="004D01B9">
        <w:rPr>
          <w:rFonts w:ascii="Calibri" w:hAnsi="Calibri" w:cs="Calibri"/>
        </w:rPr>
        <w:tab/>
      </w:r>
      <w:proofErr w:type="spellStart"/>
      <w:r w:rsidRPr="004D01B9">
        <w:rPr>
          <w:rFonts w:ascii="Calibri" w:hAnsi="Calibri" w:cs="Calibri"/>
        </w:rPr>
        <w:t>Lan</w:t>
      </w:r>
      <w:proofErr w:type="spellEnd"/>
      <w:r w:rsidRPr="004D01B9">
        <w:rPr>
          <w:rFonts w:ascii="Calibri" w:hAnsi="Calibri" w:cs="Calibri"/>
        </w:rPr>
        <w:t xml:space="preserve"> J, Ge J, </w:t>
      </w:r>
      <w:proofErr w:type="spellStart"/>
      <w:r w:rsidRPr="004D01B9">
        <w:rPr>
          <w:rFonts w:ascii="Calibri" w:hAnsi="Calibri" w:cs="Calibri"/>
        </w:rPr>
        <w:t>Yu</w:t>
      </w:r>
      <w:proofErr w:type="spellEnd"/>
      <w:r w:rsidRPr="004D01B9">
        <w:rPr>
          <w:rFonts w:ascii="Calibri" w:hAnsi="Calibri" w:cs="Calibri"/>
        </w:rPr>
        <w:t xml:space="preserve"> J, Shan S, Zhou H, Fan S, et al. </w:t>
      </w:r>
      <w:proofErr w:type="spellStart"/>
      <w:r w:rsidRPr="004D01B9">
        <w:rPr>
          <w:rFonts w:ascii="Calibri" w:hAnsi="Calibri" w:cs="Calibri"/>
        </w:rPr>
        <w:t>Structure</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w:t>
      </w:r>
      <w:proofErr w:type="spellStart"/>
      <w:r w:rsidRPr="004D01B9">
        <w:rPr>
          <w:rFonts w:ascii="Calibri" w:hAnsi="Calibri" w:cs="Calibri"/>
        </w:rPr>
        <w:t>the</w:t>
      </w:r>
      <w:proofErr w:type="spellEnd"/>
      <w:r w:rsidRPr="004D01B9">
        <w:rPr>
          <w:rFonts w:ascii="Calibri" w:hAnsi="Calibri" w:cs="Calibri"/>
        </w:rPr>
        <w:t xml:space="preserve"> SARS-CoV-2 </w:t>
      </w:r>
      <w:proofErr w:type="spellStart"/>
      <w:r w:rsidRPr="004D01B9">
        <w:rPr>
          <w:rFonts w:ascii="Calibri" w:hAnsi="Calibri" w:cs="Calibri"/>
        </w:rPr>
        <w:t>spike</w:t>
      </w:r>
      <w:proofErr w:type="spellEnd"/>
      <w:r w:rsidRPr="004D01B9">
        <w:rPr>
          <w:rFonts w:ascii="Calibri" w:hAnsi="Calibri" w:cs="Calibri"/>
        </w:rPr>
        <w:t xml:space="preserve"> receptor-</w:t>
      </w:r>
      <w:proofErr w:type="spellStart"/>
      <w:r w:rsidRPr="004D01B9">
        <w:rPr>
          <w:rFonts w:ascii="Calibri" w:hAnsi="Calibri" w:cs="Calibri"/>
        </w:rPr>
        <w:t>binding</w:t>
      </w:r>
      <w:proofErr w:type="spellEnd"/>
      <w:r w:rsidRPr="004D01B9">
        <w:rPr>
          <w:rFonts w:ascii="Calibri" w:hAnsi="Calibri" w:cs="Calibri"/>
        </w:rPr>
        <w:t xml:space="preserve"> </w:t>
      </w:r>
      <w:proofErr w:type="spellStart"/>
      <w:r w:rsidRPr="004D01B9">
        <w:rPr>
          <w:rFonts w:ascii="Calibri" w:hAnsi="Calibri" w:cs="Calibri"/>
        </w:rPr>
        <w:t>domain</w:t>
      </w:r>
      <w:proofErr w:type="spellEnd"/>
      <w:r w:rsidRPr="004D01B9">
        <w:rPr>
          <w:rFonts w:ascii="Calibri" w:hAnsi="Calibri" w:cs="Calibri"/>
        </w:rPr>
        <w:t xml:space="preserve"> </w:t>
      </w:r>
      <w:proofErr w:type="spellStart"/>
      <w:r w:rsidRPr="004D01B9">
        <w:rPr>
          <w:rFonts w:ascii="Calibri" w:hAnsi="Calibri" w:cs="Calibri"/>
        </w:rPr>
        <w:t>bound</w:t>
      </w:r>
      <w:proofErr w:type="spellEnd"/>
      <w:r w:rsidRPr="004D01B9">
        <w:rPr>
          <w:rFonts w:ascii="Calibri" w:hAnsi="Calibri" w:cs="Calibri"/>
        </w:rPr>
        <w:t xml:space="preserve"> </w:t>
      </w:r>
      <w:proofErr w:type="spellStart"/>
      <w:r w:rsidRPr="004D01B9">
        <w:rPr>
          <w:rFonts w:ascii="Calibri" w:hAnsi="Calibri" w:cs="Calibri"/>
        </w:rPr>
        <w:t>to</w:t>
      </w:r>
      <w:proofErr w:type="spellEnd"/>
      <w:r w:rsidRPr="004D01B9">
        <w:rPr>
          <w:rFonts w:ascii="Calibri" w:hAnsi="Calibri" w:cs="Calibri"/>
        </w:rPr>
        <w:t xml:space="preserve"> </w:t>
      </w:r>
      <w:proofErr w:type="spellStart"/>
      <w:r w:rsidRPr="004D01B9">
        <w:rPr>
          <w:rFonts w:ascii="Calibri" w:hAnsi="Calibri" w:cs="Calibri"/>
        </w:rPr>
        <w:t>the</w:t>
      </w:r>
      <w:proofErr w:type="spellEnd"/>
      <w:r w:rsidRPr="004D01B9">
        <w:rPr>
          <w:rFonts w:ascii="Calibri" w:hAnsi="Calibri" w:cs="Calibri"/>
        </w:rPr>
        <w:t xml:space="preserve"> ACE2 receptor. </w:t>
      </w:r>
      <w:proofErr w:type="spellStart"/>
      <w:r w:rsidRPr="004D01B9">
        <w:rPr>
          <w:rFonts w:ascii="Calibri" w:hAnsi="Calibri" w:cs="Calibri"/>
        </w:rPr>
        <w:t>Nature</w:t>
      </w:r>
      <w:proofErr w:type="spellEnd"/>
      <w:r w:rsidRPr="004D01B9">
        <w:rPr>
          <w:rFonts w:ascii="Calibri" w:hAnsi="Calibri" w:cs="Calibri"/>
        </w:rPr>
        <w:t xml:space="preserve"> [Internet]. mayo de 2020 [citado 22 de marzo de 2023];581(7807):215-20. Disponible en: https://www.nature.com/articles/s41586-020-2180-5</w:t>
      </w:r>
    </w:p>
    <w:p w14:paraId="18678837" w14:textId="77777777" w:rsidR="004D01B9" w:rsidRPr="004D01B9" w:rsidRDefault="004D01B9" w:rsidP="004D01B9">
      <w:pPr>
        <w:pStyle w:val="Bibliografa"/>
        <w:jc w:val="both"/>
        <w:rPr>
          <w:rFonts w:ascii="Calibri" w:hAnsi="Calibri" w:cs="Calibri"/>
        </w:rPr>
      </w:pPr>
      <w:r w:rsidRPr="004D01B9">
        <w:rPr>
          <w:rFonts w:ascii="Calibri" w:hAnsi="Calibri" w:cs="Calibri"/>
        </w:rPr>
        <w:t>7.</w:t>
      </w:r>
      <w:r w:rsidRPr="004D01B9">
        <w:rPr>
          <w:rFonts w:ascii="Calibri" w:hAnsi="Calibri" w:cs="Calibri"/>
        </w:rPr>
        <w:tab/>
      </w:r>
      <w:proofErr w:type="spellStart"/>
      <w:r w:rsidRPr="004D01B9">
        <w:rPr>
          <w:rFonts w:ascii="Calibri" w:hAnsi="Calibri" w:cs="Calibri"/>
        </w:rPr>
        <w:t>Commissioner</w:t>
      </w:r>
      <w:proofErr w:type="spellEnd"/>
      <w:r w:rsidRPr="004D01B9">
        <w:rPr>
          <w:rFonts w:ascii="Calibri" w:hAnsi="Calibri" w:cs="Calibri"/>
        </w:rPr>
        <w:t xml:space="preserve"> O </w:t>
      </w:r>
      <w:proofErr w:type="spellStart"/>
      <w:r w:rsidRPr="004D01B9">
        <w:rPr>
          <w:rFonts w:ascii="Calibri" w:hAnsi="Calibri" w:cs="Calibri"/>
        </w:rPr>
        <w:t>of</w:t>
      </w:r>
      <w:proofErr w:type="spellEnd"/>
      <w:r w:rsidRPr="004D01B9">
        <w:rPr>
          <w:rFonts w:ascii="Calibri" w:hAnsi="Calibri" w:cs="Calibri"/>
        </w:rPr>
        <w:t xml:space="preserve"> </w:t>
      </w:r>
      <w:proofErr w:type="spellStart"/>
      <w:r w:rsidRPr="004D01B9">
        <w:rPr>
          <w:rFonts w:ascii="Calibri" w:hAnsi="Calibri" w:cs="Calibri"/>
        </w:rPr>
        <w:t>the</w:t>
      </w:r>
      <w:proofErr w:type="spellEnd"/>
      <w:r w:rsidRPr="004D01B9">
        <w:rPr>
          <w:rFonts w:ascii="Calibri" w:hAnsi="Calibri" w:cs="Calibri"/>
        </w:rPr>
        <w:t>. La FDA aprueba la primera vacuna contra el COVID-19 [Internet]. FDA. FDA; 2021 [citado 22 de marzo de 2023]. Disponible en: https://www.fda.gov/news-events/press-announcements/la-fda-aprueba-la-primera-vacuna-contra-el-covid-19</w:t>
      </w:r>
    </w:p>
    <w:p w14:paraId="56E159E8" w14:textId="77777777" w:rsidR="004D01B9" w:rsidRPr="004D01B9" w:rsidRDefault="004D01B9" w:rsidP="004D01B9">
      <w:pPr>
        <w:pStyle w:val="Bibliografa"/>
        <w:jc w:val="both"/>
        <w:rPr>
          <w:rFonts w:ascii="Calibri" w:hAnsi="Calibri" w:cs="Calibri"/>
        </w:rPr>
      </w:pPr>
      <w:r w:rsidRPr="004D01B9">
        <w:rPr>
          <w:rFonts w:ascii="Calibri" w:hAnsi="Calibri" w:cs="Calibri"/>
        </w:rPr>
        <w:t>8.</w:t>
      </w:r>
      <w:r w:rsidRPr="004D01B9">
        <w:rPr>
          <w:rFonts w:ascii="Calibri" w:hAnsi="Calibri" w:cs="Calibri"/>
        </w:rPr>
        <w:tab/>
        <w:t xml:space="preserve">Morón-Duarte LS, Chacón KR, Gutiérrez MP, De La Hoz IH, </w:t>
      </w:r>
      <w:proofErr w:type="spellStart"/>
      <w:r w:rsidRPr="004D01B9">
        <w:rPr>
          <w:rFonts w:ascii="Calibri" w:hAnsi="Calibri" w:cs="Calibri"/>
        </w:rPr>
        <w:t>Yomayusa</w:t>
      </w:r>
      <w:proofErr w:type="spellEnd"/>
      <w:r w:rsidRPr="004D01B9">
        <w:rPr>
          <w:rFonts w:ascii="Calibri" w:hAnsi="Calibri" w:cs="Calibri"/>
        </w:rPr>
        <w:t xml:space="preserve"> N. </w:t>
      </w:r>
      <w:proofErr w:type="spellStart"/>
      <w:r w:rsidRPr="004D01B9">
        <w:rPr>
          <w:rFonts w:ascii="Calibri" w:hAnsi="Calibri" w:cs="Calibri"/>
        </w:rPr>
        <w:t>Efficacy</w:t>
      </w:r>
      <w:proofErr w:type="spellEnd"/>
      <w:r w:rsidRPr="004D01B9">
        <w:rPr>
          <w:rFonts w:ascii="Calibri" w:hAnsi="Calibri" w:cs="Calibri"/>
        </w:rPr>
        <w:t xml:space="preserve"> and safety </w:t>
      </w:r>
      <w:proofErr w:type="spellStart"/>
      <w:r w:rsidRPr="004D01B9">
        <w:rPr>
          <w:rFonts w:ascii="Calibri" w:hAnsi="Calibri" w:cs="Calibri"/>
        </w:rPr>
        <w:t>of</w:t>
      </w:r>
      <w:proofErr w:type="spellEnd"/>
      <w:r w:rsidRPr="004D01B9">
        <w:rPr>
          <w:rFonts w:ascii="Calibri" w:hAnsi="Calibri" w:cs="Calibri"/>
        </w:rPr>
        <w:t xml:space="preserve"> </w:t>
      </w:r>
      <w:proofErr w:type="spellStart"/>
      <w:r w:rsidRPr="004D01B9">
        <w:rPr>
          <w:rFonts w:ascii="Calibri" w:hAnsi="Calibri" w:cs="Calibri"/>
        </w:rPr>
        <w:t>four</w:t>
      </w:r>
      <w:proofErr w:type="spellEnd"/>
      <w:r w:rsidRPr="004D01B9">
        <w:rPr>
          <w:rFonts w:ascii="Calibri" w:hAnsi="Calibri" w:cs="Calibri"/>
        </w:rPr>
        <w:t xml:space="preserve"> </w:t>
      </w:r>
      <w:proofErr w:type="spellStart"/>
      <w:r w:rsidRPr="004D01B9">
        <w:rPr>
          <w:rFonts w:ascii="Calibri" w:hAnsi="Calibri" w:cs="Calibri"/>
        </w:rPr>
        <w:t>vaccines</w:t>
      </w:r>
      <w:proofErr w:type="spellEnd"/>
      <w:r w:rsidRPr="004D01B9">
        <w:rPr>
          <w:rFonts w:ascii="Calibri" w:hAnsi="Calibri" w:cs="Calibri"/>
        </w:rPr>
        <w:t xml:space="preserve"> in </w:t>
      </w:r>
      <w:proofErr w:type="spellStart"/>
      <w:r w:rsidRPr="004D01B9">
        <w:rPr>
          <w:rFonts w:ascii="Calibri" w:hAnsi="Calibri" w:cs="Calibri"/>
        </w:rPr>
        <w:t>preventing</w:t>
      </w:r>
      <w:proofErr w:type="spellEnd"/>
      <w:r w:rsidRPr="004D01B9">
        <w:rPr>
          <w:rFonts w:ascii="Calibri" w:hAnsi="Calibri" w:cs="Calibri"/>
        </w:rPr>
        <w:t xml:space="preserve"> SARS-CoV-2 coronavirus </w:t>
      </w:r>
      <w:proofErr w:type="spellStart"/>
      <w:r w:rsidRPr="004D01B9">
        <w:rPr>
          <w:rFonts w:ascii="Calibri" w:hAnsi="Calibri" w:cs="Calibri"/>
        </w:rPr>
        <w:t>infection</w:t>
      </w:r>
      <w:proofErr w:type="spellEnd"/>
      <w:r w:rsidRPr="004D01B9">
        <w:rPr>
          <w:rFonts w:ascii="Calibri" w:hAnsi="Calibri" w:cs="Calibri"/>
        </w:rPr>
        <w:t xml:space="preserve"> (COVID-19): A </w:t>
      </w:r>
      <w:proofErr w:type="spellStart"/>
      <w:r w:rsidRPr="004D01B9">
        <w:rPr>
          <w:rFonts w:ascii="Calibri" w:hAnsi="Calibri" w:cs="Calibri"/>
        </w:rPr>
        <w:t>rapid</w:t>
      </w:r>
      <w:proofErr w:type="spellEnd"/>
      <w:r w:rsidRPr="004D01B9">
        <w:rPr>
          <w:rFonts w:ascii="Calibri" w:hAnsi="Calibri" w:cs="Calibri"/>
        </w:rPr>
        <w:t xml:space="preserve"> </w:t>
      </w:r>
      <w:proofErr w:type="spellStart"/>
      <w:r w:rsidRPr="004D01B9">
        <w:rPr>
          <w:rFonts w:ascii="Calibri" w:hAnsi="Calibri" w:cs="Calibri"/>
        </w:rPr>
        <w:t>review</w:t>
      </w:r>
      <w:proofErr w:type="spellEnd"/>
      <w:r w:rsidRPr="004D01B9">
        <w:rPr>
          <w:rFonts w:ascii="Calibri" w:hAnsi="Calibri" w:cs="Calibri"/>
        </w:rPr>
        <w:t xml:space="preserve">. </w:t>
      </w:r>
      <w:proofErr w:type="spellStart"/>
      <w:r w:rsidRPr="004D01B9">
        <w:rPr>
          <w:rFonts w:ascii="Calibri" w:hAnsi="Calibri" w:cs="Calibri"/>
        </w:rPr>
        <w:t>Biomedica</w:t>
      </w:r>
      <w:proofErr w:type="spellEnd"/>
      <w:r w:rsidRPr="004D01B9">
        <w:rPr>
          <w:rFonts w:ascii="Calibri" w:hAnsi="Calibri" w:cs="Calibri"/>
        </w:rPr>
        <w:t xml:space="preserve">. 2022;42(2):1-23. </w:t>
      </w:r>
    </w:p>
    <w:p w14:paraId="1E42EE67" w14:textId="77777777" w:rsidR="004D01B9" w:rsidRPr="004D01B9" w:rsidRDefault="004D01B9" w:rsidP="004D01B9">
      <w:pPr>
        <w:pStyle w:val="Bibliografa"/>
        <w:jc w:val="both"/>
        <w:rPr>
          <w:rFonts w:ascii="Calibri" w:hAnsi="Calibri" w:cs="Calibri"/>
        </w:rPr>
      </w:pPr>
      <w:r w:rsidRPr="004D01B9">
        <w:rPr>
          <w:rFonts w:ascii="Calibri" w:hAnsi="Calibri" w:cs="Calibri"/>
        </w:rPr>
        <w:t>9.</w:t>
      </w:r>
      <w:r w:rsidRPr="004D01B9">
        <w:rPr>
          <w:rFonts w:ascii="Calibri" w:hAnsi="Calibri" w:cs="Calibri"/>
        </w:rPr>
        <w:tab/>
        <w:t xml:space="preserve">Bradley T, </w:t>
      </w:r>
      <w:proofErr w:type="spellStart"/>
      <w:r w:rsidRPr="004D01B9">
        <w:rPr>
          <w:rFonts w:ascii="Calibri" w:hAnsi="Calibri" w:cs="Calibri"/>
        </w:rPr>
        <w:t>Grundberg</w:t>
      </w:r>
      <w:proofErr w:type="spellEnd"/>
      <w:r w:rsidRPr="004D01B9">
        <w:rPr>
          <w:rFonts w:ascii="Calibri" w:hAnsi="Calibri" w:cs="Calibri"/>
        </w:rPr>
        <w:t xml:space="preserve"> E, </w:t>
      </w:r>
      <w:proofErr w:type="spellStart"/>
      <w:r w:rsidRPr="004D01B9">
        <w:rPr>
          <w:rFonts w:ascii="Calibri" w:hAnsi="Calibri" w:cs="Calibri"/>
        </w:rPr>
        <w:t>Selvarangan</w:t>
      </w:r>
      <w:proofErr w:type="spellEnd"/>
      <w:r w:rsidRPr="004D01B9">
        <w:rPr>
          <w:rFonts w:ascii="Calibri" w:hAnsi="Calibri" w:cs="Calibri"/>
        </w:rPr>
        <w:t xml:space="preserve"> R, </w:t>
      </w:r>
      <w:proofErr w:type="spellStart"/>
      <w:r w:rsidRPr="004D01B9">
        <w:rPr>
          <w:rFonts w:ascii="Calibri" w:hAnsi="Calibri" w:cs="Calibri"/>
        </w:rPr>
        <w:t>LeMaster</w:t>
      </w:r>
      <w:proofErr w:type="spellEnd"/>
      <w:r w:rsidRPr="004D01B9">
        <w:rPr>
          <w:rFonts w:ascii="Calibri" w:hAnsi="Calibri" w:cs="Calibri"/>
        </w:rPr>
        <w:t xml:space="preserve"> C, </w:t>
      </w:r>
      <w:proofErr w:type="spellStart"/>
      <w:r w:rsidRPr="004D01B9">
        <w:rPr>
          <w:rFonts w:ascii="Calibri" w:hAnsi="Calibri" w:cs="Calibri"/>
        </w:rPr>
        <w:t>Fraley</w:t>
      </w:r>
      <w:proofErr w:type="spellEnd"/>
      <w:r w:rsidRPr="004D01B9">
        <w:rPr>
          <w:rFonts w:ascii="Calibri" w:hAnsi="Calibri" w:cs="Calibri"/>
        </w:rPr>
        <w:t xml:space="preserve"> E, </w:t>
      </w:r>
      <w:proofErr w:type="spellStart"/>
      <w:r w:rsidRPr="004D01B9">
        <w:rPr>
          <w:rFonts w:ascii="Calibri" w:hAnsi="Calibri" w:cs="Calibri"/>
        </w:rPr>
        <w:t>Banerjee</w:t>
      </w:r>
      <w:proofErr w:type="spellEnd"/>
      <w:r w:rsidRPr="004D01B9">
        <w:rPr>
          <w:rFonts w:ascii="Calibri" w:hAnsi="Calibri" w:cs="Calibri"/>
        </w:rPr>
        <w:t xml:space="preserve"> D, et al. </w:t>
      </w:r>
      <w:proofErr w:type="spellStart"/>
      <w:r w:rsidRPr="004D01B9">
        <w:rPr>
          <w:rFonts w:ascii="Calibri" w:hAnsi="Calibri" w:cs="Calibri"/>
        </w:rPr>
        <w:t>Antibody</w:t>
      </w:r>
      <w:proofErr w:type="spellEnd"/>
      <w:r w:rsidRPr="004D01B9">
        <w:rPr>
          <w:rFonts w:ascii="Calibri" w:hAnsi="Calibri" w:cs="Calibri"/>
        </w:rPr>
        <w:t xml:space="preserve"> Responses after a </w:t>
      </w:r>
      <w:proofErr w:type="gramStart"/>
      <w:r w:rsidRPr="004D01B9">
        <w:rPr>
          <w:rFonts w:ascii="Calibri" w:hAnsi="Calibri" w:cs="Calibri"/>
        </w:rPr>
        <w:t>Single</w:t>
      </w:r>
      <w:proofErr w:type="gramEnd"/>
      <w:r w:rsidRPr="004D01B9">
        <w:rPr>
          <w:rFonts w:ascii="Calibri" w:hAnsi="Calibri" w:cs="Calibri"/>
        </w:rPr>
        <w:t xml:space="preserve"> </w:t>
      </w:r>
      <w:proofErr w:type="spellStart"/>
      <w:r w:rsidRPr="004D01B9">
        <w:rPr>
          <w:rFonts w:ascii="Calibri" w:hAnsi="Calibri" w:cs="Calibri"/>
        </w:rPr>
        <w:t>Dose</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SARS-CoV-2 mRNA </w:t>
      </w:r>
      <w:proofErr w:type="spellStart"/>
      <w:r w:rsidRPr="004D01B9">
        <w:rPr>
          <w:rFonts w:ascii="Calibri" w:hAnsi="Calibri" w:cs="Calibri"/>
        </w:rPr>
        <w:t>Vaccine</w:t>
      </w:r>
      <w:proofErr w:type="spellEnd"/>
      <w:r w:rsidRPr="004D01B9">
        <w:rPr>
          <w:rFonts w:ascii="Calibri" w:hAnsi="Calibri" w:cs="Calibri"/>
        </w:rPr>
        <w:t xml:space="preserve">. N Engl J </w:t>
      </w:r>
      <w:proofErr w:type="spellStart"/>
      <w:r w:rsidRPr="004D01B9">
        <w:rPr>
          <w:rFonts w:ascii="Calibri" w:hAnsi="Calibri" w:cs="Calibri"/>
        </w:rPr>
        <w:t>Med</w:t>
      </w:r>
      <w:proofErr w:type="spellEnd"/>
      <w:r w:rsidRPr="004D01B9">
        <w:rPr>
          <w:rFonts w:ascii="Calibri" w:hAnsi="Calibri" w:cs="Calibri"/>
        </w:rPr>
        <w:t xml:space="preserve"> [Internet]. 20 de mayo de 2021 [citado 27 de marzo de 2023];384(20):1959-61. Disponible en: https://doi.org/10.1056/NEJMc2102051</w:t>
      </w:r>
    </w:p>
    <w:p w14:paraId="08C0A616" w14:textId="77777777" w:rsidR="004D01B9" w:rsidRPr="004D01B9" w:rsidRDefault="004D01B9" w:rsidP="004D01B9">
      <w:pPr>
        <w:pStyle w:val="Bibliografa"/>
        <w:jc w:val="both"/>
        <w:rPr>
          <w:rFonts w:ascii="Calibri" w:hAnsi="Calibri" w:cs="Calibri"/>
        </w:rPr>
      </w:pPr>
      <w:r w:rsidRPr="004D01B9">
        <w:rPr>
          <w:rFonts w:ascii="Calibri" w:hAnsi="Calibri" w:cs="Calibri"/>
        </w:rPr>
        <w:t>10.</w:t>
      </w:r>
      <w:r w:rsidRPr="004D01B9">
        <w:rPr>
          <w:rFonts w:ascii="Calibri" w:hAnsi="Calibri" w:cs="Calibri"/>
        </w:rPr>
        <w:tab/>
      </w:r>
      <w:proofErr w:type="spellStart"/>
      <w:r w:rsidRPr="004D01B9">
        <w:rPr>
          <w:rFonts w:ascii="Calibri" w:hAnsi="Calibri" w:cs="Calibri"/>
        </w:rPr>
        <w:t>Raraz</w:t>
      </w:r>
      <w:proofErr w:type="spellEnd"/>
      <w:r w:rsidRPr="004D01B9">
        <w:rPr>
          <w:rFonts w:ascii="Calibri" w:hAnsi="Calibri" w:cs="Calibri"/>
        </w:rPr>
        <w:t xml:space="preserve">-Vidal JG, </w:t>
      </w:r>
      <w:proofErr w:type="spellStart"/>
      <w:r w:rsidRPr="004D01B9">
        <w:rPr>
          <w:rFonts w:ascii="Calibri" w:hAnsi="Calibri" w:cs="Calibri"/>
        </w:rPr>
        <w:t>Allpas-Gomez</w:t>
      </w:r>
      <w:proofErr w:type="spellEnd"/>
      <w:r w:rsidRPr="004D01B9">
        <w:rPr>
          <w:rFonts w:ascii="Calibri" w:hAnsi="Calibri" w:cs="Calibri"/>
        </w:rPr>
        <w:t xml:space="preserve"> HL, Torres-Salome FK, Cabrera-Patiño WM, Alcántara-Leyva LM, Ramos-Gómez RP, et al. Condiciones laborales y equipos de protección personal contra el Covid-19 en personal de salud, Lima-Perú. </w:t>
      </w:r>
      <w:proofErr w:type="spellStart"/>
      <w:r w:rsidRPr="004D01B9">
        <w:rPr>
          <w:rFonts w:ascii="Calibri" w:hAnsi="Calibri" w:cs="Calibri"/>
        </w:rPr>
        <w:t>Rev</w:t>
      </w:r>
      <w:proofErr w:type="spellEnd"/>
      <w:r w:rsidRPr="004D01B9">
        <w:rPr>
          <w:rFonts w:ascii="Calibri" w:hAnsi="Calibri" w:cs="Calibri"/>
        </w:rPr>
        <w:t xml:space="preserve"> </w:t>
      </w:r>
      <w:proofErr w:type="spellStart"/>
      <w:r w:rsidRPr="004D01B9">
        <w:rPr>
          <w:rFonts w:ascii="Calibri" w:hAnsi="Calibri" w:cs="Calibri"/>
        </w:rPr>
        <w:t>Fac</w:t>
      </w:r>
      <w:proofErr w:type="spellEnd"/>
      <w:r w:rsidRPr="004D01B9">
        <w:rPr>
          <w:rFonts w:ascii="Calibri" w:hAnsi="Calibri" w:cs="Calibri"/>
        </w:rPr>
        <w:t xml:space="preserve"> </w:t>
      </w:r>
      <w:proofErr w:type="spellStart"/>
      <w:r w:rsidRPr="004D01B9">
        <w:rPr>
          <w:rFonts w:ascii="Calibri" w:hAnsi="Calibri" w:cs="Calibri"/>
        </w:rPr>
        <w:t>Med</w:t>
      </w:r>
      <w:proofErr w:type="spellEnd"/>
      <w:r w:rsidRPr="004D01B9">
        <w:rPr>
          <w:rFonts w:ascii="Calibri" w:hAnsi="Calibri" w:cs="Calibri"/>
        </w:rPr>
        <w:t xml:space="preserve"> Humana [Internet]. abril de 2021 [citado 1 de abril de 2023];21(2):335-45. Disponible en: http://www.scielo.org.pe/scielo.php?script=sci_abstract&amp;pid=S2308-05312021000200335&amp;lng=es&amp;nrm=iso&amp;tlng=es</w:t>
      </w:r>
    </w:p>
    <w:p w14:paraId="61B0441A" w14:textId="77777777" w:rsidR="004D01B9" w:rsidRPr="004D01B9" w:rsidRDefault="004D01B9" w:rsidP="004D01B9">
      <w:pPr>
        <w:pStyle w:val="Bibliografa"/>
        <w:jc w:val="both"/>
        <w:rPr>
          <w:rFonts w:ascii="Calibri" w:hAnsi="Calibri" w:cs="Calibri"/>
        </w:rPr>
      </w:pPr>
      <w:r w:rsidRPr="004D01B9">
        <w:rPr>
          <w:rFonts w:ascii="Calibri" w:hAnsi="Calibri" w:cs="Calibri"/>
        </w:rPr>
        <w:lastRenderedPageBreak/>
        <w:t>11.</w:t>
      </w:r>
      <w:r w:rsidRPr="004D01B9">
        <w:rPr>
          <w:rFonts w:ascii="Calibri" w:hAnsi="Calibri" w:cs="Calibri"/>
        </w:rPr>
        <w:tab/>
        <w:t>MINSA - Carné Vacunación [Internet]. [citado 1 de abril de 2023]. Disponible en: https://consultas-dev.sc.minsa.mvpdemoapp.com/</w:t>
      </w:r>
    </w:p>
    <w:p w14:paraId="4231766E" w14:textId="77777777" w:rsidR="004D01B9" w:rsidRPr="004D01B9" w:rsidRDefault="004D01B9" w:rsidP="004D01B9">
      <w:pPr>
        <w:pStyle w:val="Bibliografa"/>
        <w:jc w:val="both"/>
        <w:rPr>
          <w:rFonts w:ascii="Calibri" w:hAnsi="Calibri" w:cs="Calibri"/>
        </w:rPr>
      </w:pPr>
      <w:r w:rsidRPr="004D01B9">
        <w:rPr>
          <w:rFonts w:ascii="Calibri" w:hAnsi="Calibri" w:cs="Calibri"/>
        </w:rPr>
        <w:t>12.</w:t>
      </w:r>
      <w:r w:rsidRPr="004D01B9">
        <w:rPr>
          <w:rFonts w:ascii="Calibri" w:hAnsi="Calibri" w:cs="Calibri"/>
        </w:rPr>
        <w:tab/>
        <w:t>Vacunas SARS-COV2 marzo 2021 | Nefrología al día [Internet]. [citado 1 de abril de 2023]. Disponible en: http://www.nefrologiaaldia.org/es-articulo-vacunas-sars-cov2-marzo-2021-366</w:t>
      </w:r>
    </w:p>
    <w:p w14:paraId="7E9943C2" w14:textId="77777777" w:rsidR="004D01B9" w:rsidRPr="004D01B9" w:rsidRDefault="004D01B9" w:rsidP="004D01B9">
      <w:pPr>
        <w:pStyle w:val="Bibliografa"/>
        <w:jc w:val="both"/>
        <w:rPr>
          <w:rFonts w:ascii="Calibri" w:hAnsi="Calibri" w:cs="Calibri"/>
        </w:rPr>
      </w:pPr>
      <w:r w:rsidRPr="004D01B9">
        <w:rPr>
          <w:rFonts w:ascii="Calibri" w:hAnsi="Calibri" w:cs="Calibri"/>
        </w:rPr>
        <w:t>13.</w:t>
      </w:r>
      <w:r w:rsidRPr="004D01B9">
        <w:rPr>
          <w:rFonts w:ascii="Calibri" w:hAnsi="Calibri" w:cs="Calibri"/>
        </w:rPr>
        <w:tab/>
        <w:t xml:space="preserve">Marco JJG, Pasquín MJÁ, Martín SM. Efectividad y seguridad de las vacunas para el SARS-CoV-2 actualmente disponibles. </w:t>
      </w:r>
      <w:proofErr w:type="spellStart"/>
      <w:r w:rsidRPr="004D01B9">
        <w:rPr>
          <w:rFonts w:ascii="Calibri" w:hAnsi="Calibri" w:cs="Calibri"/>
        </w:rPr>
        <w:t>Fmc</w:t>
      </w:r>
      <w:proofErr w:type="spellEnd"/>
      <w:r w:rsidRPr="004D01B9">
        <w:rPr>
          <w:rFonts w:ascii="Calibri" w:hAnsi="Calibri" w:cs="Calibri"/>
        </w:rPr>
        <w:t xml:space="preserve"> [Internet]. octubre de 2021 [citado 1 de abril de 2023];28(8):442-51. Disponible en: https://www.ncbi.nlm.nih.gov/pmc/articles/PMC8483629/</w:t>
      </w:r>
    </w:p>
    <w:p w14:paraId="58C95599" w14:textId="77777777" w:rsidR="004D01B9" w:rsidRPr="004D01B9" w:rsidRDefault="004D01B9" w:rsidP="004D01B9">
      <w:pPr>
        <w:pStyle w:val="Bibliografa"/>
        <w:jc w:val="both"/>
        <w:rPr>
          <w:rFonts w:ascii="Calibri" w:hAnsi="Calibri" w:cs="Calibri"/>
        </w:rPr>
      </w:pPr>
      <w:r w:rsidRPr="004D01B9">
        <w:rPr>
          <w:rFonts w:ascii="Calibri" w:hAnsi="Calibri" w:cs="Calibri"/>
        </w:rPr>
        <w:t>14.</w:t>
      </w:r>
      <w:r w:rsidRPr="004D01B9">
        <w:rPr>
          <w:rFonts w:ascii="Calibri" w:hAnsi="Calibri" w:cs="Calibri"/>
        </w:rPr>
        <w:tab/>
        <w:t xml:space="preserve">López L, Portugal W, Huamán K, Obregón C, López L, Portugal W, et al. Efectividad de vacunas COVID-19 y riesgo de mortalidad en Perú: un estudio poblacional de cohortes pareadas. </w:t>
      </w:r>
      <w:proofErr w:type="spellStart"/>
      <w:r w:rsidRPr="004D01B9">
        <w:rPr>
          <w:rFonts w:ascii="Calibri" w:hAnsi="Calibri" w:cs="Calibri"/>
        </w:rPr>
        <w:t>An</w:t>
      </w:r>
      <w:proofErr w:type="spellEnd"/>
      <w:r w:rsidRPr="004D01B9">
        <w:rPr>
          <w:rFonts w:ascii="Calibri" w:hAnsi="Calibri" w:cs="Calibri"/>
        </w:rPr>
        <w:t xml:space="preserve"> </w:t>
      </w:r>
      <w:proofErr w:type="spellStart"/>
      <w:r w:rsidRPr="004D01B9">
        <w:rPr>
          <w:rFonts w:ascii="Calibri" w:hAnsi="Calibri" w:cs="Calibri"/>
        </w:rPr>
        <w:t>Fac</w:t>
      </w:r>
      <w:proofErr w:type="spellEnd"/>
      <w:r w:rsidRPr="004D01B9">
        <w:rPr>
          <w:rFonts w:ascii="Calibri" w:hAnsi="Calibri" w:cs="Calibri"/>
        </w:rPr>
        <w:t xml:space="preserve"> </w:t>
      </w:r>
      <w:proofErr w:type="spellStart"/>
      <w:r w:rsidRPr="004D01B9">
        <w:rPr>
          <w:rFonts w:ascii="Calibri" w:hAnsi="Calibri" w:cs="Calibri"/>
        </w:rPr>
        <w:t>Med</w:t>
      </w:r>
      <w:proofErr w:type="spellEnd"/>
      <w:r w:rsidRPr="004D01B9">
        <w:rPr>
          <w:rFonts w:ascii="Calibri" w:hAnsi="Calibri" w:cs="Calibri"/>
        </w:rPr>
        <w:t xml:space="preserve"> [Internet]. abril de 2022 [citado 1 de abril de 2023];83(2):87-94. Disponible en: http://www.scielo.org.pe/scielo.php?script=sci_abstract&amp;pid=S1025-55832022000200087&amp;lng=es&amp;nrm=iso&amp;tlng=es</w:t>
      </w:r>
    </w:p>
    <w:p w14:paraId="3EE5AC9E" w14:textId="77777777" w:rsidR="004D01B9" w:rsidRPr="004D01B9" w:rsidRDefault="004D01B9" w:rsidP="004D01B9">
      <w:pPr>
        <w:pStyle w:val="Bibliografa"/>
        <w:jc w:val="both"/>
        <w:rPr>
          <w:rFonts w:ascii="Calibri" w:hAnsi="Calibri" w:cs="Calibri"/>
        </w:rPr>
      </w:pPr>
      <w:r w:rsidRPr="004D01B9">
        <w:rPr>
          <w:rFonts w:ascii="Calibri" w:hAnsi="Calibri" w:cs="Calibri"/>
        </w:rPr>
        <w:t>15.</w:t>
      </w:r>
      <w:r w:rsidRPr="004D01B9">
        <w:rPr>
          <w:rFonts w:ascii="Calibri" w:hAnsi="Calibri" w:cs="Calibri"/>
        </w:rPr>
        <w:tab/>
        <w:t xml:space="preserve">Soto A, De Charca-Rodríguez FM, Pareja-Medina M, </w:t>
      </w:r>
      <w:proofErr w:type="spellStart"/>
      <w:r w:rsidRPr="004D01B9">
        <w:rPr>
          <w:rFonts w:ascii="Calibri" w:hAnsi="Calibri" w:cs="Calibri"/>
        </w:rPr>
        <w:t>Fernandez</w:t>
      </w:r>
      <w:proofErr w:type="spellEnd"/>
      <w:r w:rsidRPr="004D01B9">
        <w:rPr>
          <w:rFonts w:ascii="Calibri" w:hAnsi="Calibri" w:cs="Calibri"/>
        </w:rPr>
        <w:t xml:space="preserve">-Navarro M, Altamirano-Cáceres K, Chávez ES, et al. EVALUATION OF THE HUMORAL RESPONSE INDUCED BY BBIBP-CorV VACCINE BY DETERMINING NEUTRALIZING ANTIBODIES IN PERUVIAN HEALTHCARE PERSONNEL. </w:t>
      </w:r>
      <w:proofErr w:type="spellStart"/>
      <w:r w:rsidRPr="004D01B9">
        <w:rPr>
          <w:rFonts w:ascii="Calibri" w:hAnsi="Calibri" w:cs="Calibri"/>
        </w:rPr>
        <w:t>Rev</w:t>
      </w:r>
      <w:proofErr w:type="spellEnd"/>
      <w:r w:rsidRPr="004D01B9">
        <w:rPr>
          <w:rFonts w:ascii="Calibri" w:hAnsi="Calibri" w:cs="Calibri"/>
        </w:rPr>
        <w:t xml:space="preserve"> </w:t>
      </w:r>
      <w:proofErr w:type="spellStart"/>
      <w:r w:rsidRPr="004D01B9">
        <w:rPr>
          <w:rFonts w:ascii="Calibri" w:hAnsi="Calibri" w:cs="Calibri"/>
        </w:rPr>
        <w:t>Peru</w:t>
      </w:r>
      <w:proofErr w:type="spellEnd"/>
      <w:r w:rsidRPr="004D01B9">
        <w:rPr>
          <w:rFonts w:ascii="Calibri" w:hAnsi="Calibri" w:cs="Calibri"/>
        </w:rPr>
        <w:t xml:space="preserve"> </w:t>
      </w:r>
      <w:proofErr w:type="spellStart"/>
      <w:r w:rsidRPr="004D01B9">
        <w:rPr>
          <w:rFonts w:ascii="Calibri" w:hAnsi="Calibri" w:cs="Calibri"/>
        </w:rPr>
        <w:t>Med</w:t>
      </w:r>
      <w:proofErr w:type="spellEnd"/>
      <w:r w:rsidRPr="004D01B9">
        <w:rPr>
          <w:rFonts w:ascii="Calibri" w:hAnsi="Calibri" w:cs="Calibri"/>
        </w:rPr>
        <w:t xml:space="preserve"> </w:t>
      </w:r>
      <w:proofErr w:type="spellStart"/>
      <w:r w:rsidRPr="004D01B9">
        <w:rPr>
          <w:rFonts w:ascii="Calibri" w:hAnsi="Calibri" w:cs="Calibri"/>
        </w:rPr>
        <w:t>Exp</w:t>
      </w:r>
      <w:proofErr w:type="spellEnd"/>
      <w:r w:rsidRPr="004D01B9">
        <w:rPr>
          <w:rFonts w:ascii="Calibri" w:hAnsi="Calibri" w:cs="Calibri"/>
        </w:rPr>
        <w:t xml:space="preserve"> Salud Publica. 2021;38(4):493-500. </w:t>
      </w:r>
    </w:p>
    <w:p w14:paraId="0C1C01AB" w14:textId="77777777" w:rsidR="004D01B9" w:rsidRPr="004D01B9" w:rsidRDefault="004D01B9" w:rsidP="004D01B9">
      <w:pPr>
        <w:pStyle w:val="Bibliografa"/>
        <w:jc w:val="both"/>
        <w:rPr>
          <w:rFonts w:ascii="Calibri" w:hAnsi="Calibri" w:cs="Calibri"/>
        </w:rPr>
      </w:pPr>
      <w:r w:rsidRPr="004D01B9">
        <w:rPr>
          <w:rFonts w:ascii="Calibri" w:hAnsi="Calibri" w:cs="Calibri"/>
        </w:rPr>
        <w:t>16.</w:t>
      </w:r>
      <w:r w:rsidRPr="004D01B9">
        <w:rPr>
          <w:rFonts w:ascii="Calibri" w:hAnsi="Calibri" w:cs="Calibri"/>
        </w:rPr>
        <w:tab/>
        <w:t xml:space="preserve">Cáceres‐Martell Y, Fernández‐Soto D, Campos‐Silva C, García‐Cuesta EM, </w:t>
      </w:r>
      <w:proofErr w:type="spellStart"/>
      <w:r w:rsidRPr="004D01B9">
        <w:rPr>
          <w:rFonts w:ascii="Calibri" w:hAnsi="Calibri" w:cs="Calibri"/>
        </w:rPr>
        <w:t>Casasnovas</w:t>
      </w:r>
      <w:proofErr w:type="spellEnd"/>
      <w:r w:rsidRPr="004D01B9">
        <w:rPr>
          <w:rFonts w:ascii="Calibri" w:hAnsi="Calibri" w:cs="Calibri"/>
        </w:rPr>
        <w:t xml:space="preserve"> JM, Navas‐Herrera D, et al. </w:t>
      </w:r>
      <w:proofErr w:type="gramStart"/>
      <w:r w:rsidRPr="004D01B9">
        <w:rPr>
          <w:rFonts w:ascii="Calibri" w:hAnsi="Calibri" w:cs="Calibri"/>
        </w:rPr>
        <w:t>Single</w:t>
      </w:r>
      <w:proofErr w:type="gramEnd"/>
      <w:r w:rsidRPr="004D01B9">
        <w:rPr>
          <w:rFonts w:ascii="Calibri" w:hAnsi="Calibri" w:cs="Calibri"/>
        </w:rPr>
        <w:t>‐</w:t>
      </w:r>
      <w:proofErr w:type="spellStart"/>
      <w:r w:rsidRPr="004D01B9">
        <w:rPr>
          <w:rFonts w:ascii="Calibri" w:hAnsi="Calibri" w:cs="Calibri"/>
        </w:rPr>
        <w:t>reaction</w:t>
      </w:r>
      <w:proofErr w:type="spellEnd"/>
      <w:r w:rsidRPr="004D01B9">
        <w:rPr>
          <w:rFonts w:ascii="Calibri" w:hAnsi="Calibri" w:cs="Calibri"/>
        </w:rPr>
        <w:t xml:space="preserve"> </w:t>
      </w:r>
      <w:proofErr w:type="spellStart"/>
      <w:r w:rsidRPr="004D01B9">
        <w:rPr>
          <w:rFonts w:ascii="Calibri" w:hAnsi="Calibri" w:cs="Calibri"/>
        </w:rPr>
        <w:t>multi‐antigen</w:t>
      </w:r>
      <w:proofErr w:type="spellEnd"/>
      <w:r w:rsidRPr="004D01B9">
        <w:rPr>
          <w:rFonts w:ascii="Calibri" w:hAnsi="Calibri" w:cs="Calibri"/>
        </w:rPr>
        <w:t xml:space="preserve"> </w:t>
      </w:r>
      <w:proofErr w:type="spellStart"/>
      <w:r w:rsidRPr="004D01B9">
        <w:rPr>
          <w:rFonts w:ascii="Calibri" w:hAnsi="Calibri" w:cs="Calibri"/>
        </w:rPr>
        <w:t>serological</w:t>
      </w:r>
      <w:proofErr w:type="spellEnd"/>
      <w:r w:rsidRPr="004D01B9">
        <w:rPr>
          <w:rFonts w:ascii="Calibri" w:hAnsi="Calibri" w:cs="Calibri"/>
        </w:rPr>
        <w:t xml:space="preserve"> test </w:t>
      </w:r>
      <w:proofErr w:type="spellStart"/>
      <w:r w:rsidRPr="004D01B9">
        <w:rPr>
          <w:rFonts w:ascii="Calibri" w:hAnsi="Calibri" w:cs="Calibri"/>
        </w:rPr>
        <w:t>for</w:t>
      </w:r>
      <w:proofErr w:type="spellEnd"/>
      <w:r w:rsidRPr="004D01B9">
        <w:rPr>
          <w:rFonts w:ascii="Calibri" w:hAnsi="Calibri" w:cs="Calibri"/>
        </w:rPr>
        <w:t xml:space="preserve"> comprehensive </w:t>
      </w:r>
      <w:proofErr w:type="spellStart"/>
      <w:r w:rsidRPr="004D01B9">
        <w:rPr>
          <w:rFonts w:ascii="Calibri" w:hAnsi="Calibri" w:cs="Calibri"/>
        </w:rPr>
        <w:t>evaluation</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SARS‐CoV‐2 </w:t>
      </w:r>
      <w:proofErr w:type="spellStart"/>
      <w:r w:rsidRPr="004D01B9">
        <w:rPr>
          <w:rFonts w:ascii="Calibri" w:hAnsi="Calibri" w:cs="Calibri"/>
        </w:rPr>
        <w:t>patients</w:t>
      </w:r>
      <w:proofErr w:type="spellEnd"/>
      <w:r w:rsidRPr="004D01B9">
        <w:rPr>
          <w:rFonts w:ascii="Calibri" w:hAnsi="Calibri" w:cs="Calibri"/>
        </w:rPr>
        <w:t xml:space="preserve"> </w:t>
      </w:r>
      <w:proofErr w:type="spellStart"/>
      <w:r w:rsidRPr="004D01B9">
        <w:rPr>
          <w:rFonts w:ascii="Calibri" w:hAnsi="Calibri" w:cs="Calibri"/>
        </w:rPr>
        <w:t>by</w:t>
      </w:r>
      <w:proofErr w:type="spellEnd"/>
      <w:r w:rsidRPr="004D01B9">
        <w:rPr>
          <w:rFonts w:ascii="Calibri" w:hAnsi="Calibri" w:cs="Calibri"/>
        </w:rPr>
        <w:t xml:space="preserve"> </w:t>
      </w:r>
      <w:proofErr w:type="spellStart"/>
      <w:r w:rsidRPr="004D01B9">
        <w:rPr>
          <w:rFonts w:ascii="Calibri" w:hAnsi="Calibri" w:cs="Calibri"/>
        </w:rPr>
        <w:t>flow</w:t>
      </w:r>
      <w:proofErr w:type="spellEnd"/>
      <w:r w:rsidRPr="004D01B9">
        <w:rPr>
          <w:rFonts w:ascii="Calibri" w:hAnsi="Calibri" w:cs="Calibri"/>
        </w:rPr>
        <w:t xml:space="preserve"> </w:t>
      </w:r>
      <w:proofErr w:type="spellStart"/>
      <w:r w:rsidRPr="004D01B9">
        <w:rPr>
          <w:rFonts w:ascii="Calibri" w:hAnsi="Calibri" w:cs="Calibri"/>
        </w:rPr>
        <w:t>cytometry</w:t>
      </w:r>
      <w:proofErr w:type="spellEnd"/>
      <w:r w:rsidRPr="004D01B9">
        <w:rPr>
          <w:rFonts w:ascii="Calibri" w:hAnsi="Calibri" w:cs="Calibri"/>
        </w:rPr>
        <w:t xml:space="preserve">. </w:t>
      </w:r>
      <w:proofErr w:type="spellStart"/>
      <w:r w:rsidRPr="004D01B9">
        <w:rPr>
          <w:rFonts w:ascii="Calibri" w:hAnsi="Calibri" w:cs="Calibri"/>
        </w:rPr>
        <w:t>Eur</w:t>
      </w:r>
      <w:proofErr w:type="spellEnd"/>
      <w:r w:rsidRPr="004D01B9">
        <w:rPr>
          <w:rFonts w:ascii="Calibri" w:hAnsi="Calibri" w:cs="Calibri"/>
        </w:rPr>
        <w:t xml:space="preserve"> J </w:t>
      </w:r>
      <w:proofErr w:type="spellStart"/>
      <w:r w:rsidRPr="004D01B9">
        <w:rPr>
          <w:rFonts w:ascii="Calibri" w:hAnsi="Calibri" w:cs="Calibri"/>
        </w:rPr>
        <w:t>Immunol</w:t>
      </w:r>
      <w:proofErr w:type="spellEnd"/>
      <w:r w:rsidRPr="004D01B9">
        <w:rPr>
          <w:rFonts w:ascii="Calibri" w:hAnsi="Calibri" w:cs="Calibri"/>
        </w:rPr>
        <w:t xml:space="preserve"> [Internet]. noviembre de 2021 [citado 1 de abril de 2023];51(11):2633-40. Disponible en: https://www.ncbi.nlm.nih.gov/pmc/articles/PMC8420214/</w:t>
      </w:r>
    </w:p>
    <w:p w14:paraId="2978AF8D" w14:textId="77777777" w:rsidR="004D01B9" w:rsidRPr="004D01B9" w:rsidRDefault="004D01B9" w:rsidP="004D01B9">
      <w:pPr>
        <w:pStyle w:val="Bibliografa"/>
        <w:jc w:val="both"/>
        <w:rPr>
          <w:rFonts w:ascii="Calibri" w:hAnsi="Calibri" w:cs="Calibri"/>
        </w:rPr>
      </w:pPr>
      <w:r w:rsidRPr="004D01B9">
        <w:rPr>
          <w:rFonts w:ascii="Calibri" w:hAnsi="Calibri" w:cs="Calibri"/>
        </w:rPr>
        <w:t>17.</w:t>
      </w:r>
      <w:r w:rsidRPr="004D01B9">
        <w:rPr>
          <w:rFonts w:ascii="Calibri" w:hAnsi="Calibri" w:cs="Calibri"/>
        </w:rPr>
        <w:tab/>
      </w:r>
      <w:proofErr w:type="spellStart"/>
      <w:r w:rsidRPr="004D01B9">
        <w:rPr>
          <w:rFonts w:ascii="Calibri" w:hAnsi="Calibri" w:cs="Calibri"/>
        </w:rPr>
        <w:t>Raoufi</w:t>
      </w:r>
      <w:proofErr w:type="spellEnd"/>
      <w:r w:rsidRPr="004D01B9">
        <w:rPr>
          <w:rFonts w:ascii="Calibri" w:hAnsi="Calibri" w:cs="Calibri"/>
        </w:rPr>
        <w:t xml:space="preserve"> E, Hosseini F, </w:t>
      </w:r>
      <w:proofErr w:type="spellStart"/>
      <w:r w:rsidRPr="004D01B9">
        <w:rPr>
          <w:rFonts w:ascii="Calibri" w:hAnsi="Calibri" w:cs="Calibri"/>
        </w:rPr>
        <w:t>Onagh</w:t>
      </w:r>
      <w:proofErr w:type="spellEnd"/>
      <w:r w:rsidRPr="004D01B9">
        <w:rPr>
          <w:rFonts w:ascii="Calibri" w:hAnsi="Calibri" w:cs="Calibri"/>
        </w:rPr>
        <w:t xml:space="preserve"> B, </w:t>
      </w:r>
      <w:proofErr w:type="spellStart"/>
      <w:r w:rsidRPr="004D01B9">
        <w:rPr>
          <w:rFonts w:ascii="Calibri" w:hAnsi="Calibri" w:cs="Calibri"/>
        </w:rPr>
        <w:t>Salehi-Shadkami</w:t>
      </w:r>
      <w:proofErr w:type="spellEnd"/>
      <w:r w:rsidRPr="004D01B9">
        <w:rPr>
          <w:rFonts w:ascii="Calibri" w:hAnsi="Calibri" w:cs="Calibri"/>
        </w:rPr>
        <w:t xml:space="preserve"> M, </w:t>
      </w:r>
      <w:proofErr w:type="spellStart"/>
      <w:r w:rsidRPr="004D01B9">
        <w:rPr>
          <w:rFonts w:ascii="Calibri" w:hAnsi="Calibri" w:cs="Calibri"/>
        </w:rPr>
        <w:t>Mehrali</w:t>
      </w:r>
      <w:proofErr w:type="spellEnd"/>
      <w:r w:rsidRPr="004D01B9">
        <w:rPr>
          <w:rFonts w:ascii="Calibri" w:hAnsi="Calibri" w:cs="Calibri"/>
        </w:rPr>
        <w:t xml:space="preserve"> M, </w:t>
      </w:r>
      <w:proofErr w:type="spellStart"/>
      <w:r w:rsidRPr="004D01B9">
        <w:rPr>
          <w:rFonts w:ascii="Calibri" w:hAnsi="Calibri" w:cs="Calibri"/>
        </w:rPr>
        <w:t>Mohsenzadegan</w:t>
      </w:r>
      <w:proofErr w:type="spellEnd"/>
      <w:r w:rsidRPr="004D01B9">
        <w:rPr>
          <w:rFonts w:ascii="Calibri" w:hAnsi="Calibri" w:cs="Calibri"/>
        </w:rPr>
        <w:t xml:space="preserve"> M, et al. </w:t>
      </w:r>
      <w:proofErr w:type="spellStart"/>
      <w:r w:rsidRPr="004D01B9">
        <w:rPr>
          <w:rFonts w:ascii="Calibri" w:hAnsi="Calibri" w:cs="Calibri"/>
        </w:rPr>
        <w:t>Designing</w:t>
      </w:r>
      <w:proofErr w:type="spellEnd"/>
      <w:r w:rsidRPr="004D01B9">
        <w:rPr>
          <w:rFonts w:ascii="Calibri" w:hAnsi="Calibri" w:cs="Calibri"/>
        </w:rPr>
        <w:t xml:space="preserve"> and </w:t>
      </w:r>
      <w:proofErr w:type="spellStart"/>
      <w:r w:rsidRPr="004D01B9">
        <w:rPr>
          <w:rFonts w:ascii="Calibri" w:hAnsi="Calibri" w:cs="Calibri"/>
        </w:rPr>
        <w:t>developing</w:t>
      </w:r>
      <w:proofErr w:type="spellEnd"/>
      <w:r w:rsidRPr="004D01B9">
        <w:rPr>
          <w:rFonts w:ascii="Calibri" w:hAnsi="Calibri" w:cs="Calibri"/>
        </w:rPr>
        <w:t xml:space="preserve"> a sensitive and </w:t>
      </w:r>
      <w:proofErr w:type="spellStart"/>
      <w:r w:rsidRPr="004D01B9">
        <w:rPr>
          <w:rFonts w:ascii="Calibri" w:hAnsi="Calibri" w:cs="Calibri"/>
        </w:rPr>
        <w:t>specific</w:t>
      </w:r>
      <w:proofErr w:type="spellEnd"/>
      <w:r w:rsidRPr="004D01B9">
        <w:rPr>
          <w:rFonts w:ascii="Calibri" w:hAnsi="Calibri" w:cs="Calibri"/>
        </w:rPr>
        <w:t xml:space="preserve"> SARS-CoV-2 RBD IgG </w:t>
      </w:r>
      <w:proofErr w:type="spellStart"/>
      <w:r w:rsidRPr="004D01B9">
        <w:rPr>
          <w:rFonts w:ascii="Calibri" w:hAnsi="Calibri" w:cs="Calibri"/>
        </w:rPr>
        <w:t>detection</w:t>
      </w:r>
      <w:proofErr w:type="spellEnd"/>
      <w:r w:rsidRPr="004D01B9">
        <w:rPr>
          <w:rFonts w:ascii="Calibri" w:hAnsi="Calibri" w:cs="Calibri"/>
        </w:rPr>
        <w:t xml:space="preserve"> kit </w:t>
      </w:r>
      <w:proofErr w:type="spellStart"/>
      <w:r w:rsidRPr="004D01B9">
        <w:rPr>
          <w:rFonts w:ascii="Calibri" w:hAnsi="Calibri" w:cs="Calibri"/>
        </w:rPr>
        <w:t>for</w:t>
      </w:r>
      <w:proofErr w:type="spellEnd"/>
      <w:r w:rsidRPr="004D01B9">
        <w:rPr>
          <w:rFonts w:ascii="Calibri" w:hAnsi="Calibri" w:cs="Calibri"/>
        </w:rPr>
        <w:t xml:space="preserve"> </w:t>
      </w:r>
      <w:proofErr w:type="spellStart"/>
      <w:r w:rsidRPr="004D01B9">
        <w:rPr>
          <w:rFonts w:ascii="Calibri" w:hAnsi="Calibri" w:cs="Calibri"/>
        </w:rPr>
        <w:t>identifying</w:t>
      </w:r>
      <w:proofErr w:type="spellEnd"/>
      <w:r w:rsidRPr="004D01B9">
        <w:rPr>
          <w:rFonts w:ascii="Calibri" w:hAnsi="Calibri" w:cs="Calibri"/>
        </w:rPr>
        <w:t xml:space="preserve"> positive human </w:t>
      </w:r>
      <w:proofErr w:type="spellStart"/>
      <w:r w:rsidRPr="004D01B9">
        <w:rPr>
          <w:rFonts w:ascii="Calibri" w:hAnsi="Calibri" w:cs="Calibri"/>
        </w:rPr>
        <w:t>samples</w:t>
      </w:r>
      <w:proofErr w:type="spellEnd"/>
      <w:r w:rsidRPr="004D01B9">
        <w:rPr>
          <w:rFonts w:ascii="Calibri" w:hAnsi="Calibri" w:cs="Calibri"/>
        </w:rPr>
        <w:t xml:space="preserve">. Clin </w:t>
      </w:r>
      <w:proofErr w:type="spellStart"/>
      <w:r w:rsidRPr="004D01B9">
        <w:rPr>
          <w:rFonts w:ascii="Calibri" w:hAnsi="Calibri" w:cs="Calibri"/>
        </w:rPr>
        <w:t>Chim</w:t>
      </w:r>
      <w:proofErr w:type="spellEnd"/>
      <w:r w:rsidRPr="004D01B9">
        <w:rPr>
          <w:rFonts w:ascii="Calibri" w:hAnsi="Calibri" w:cs="Calibri"/>
        </w:rPr>
        <w:t xml:space="preserve"> Acta [Internet]. 1 de marzo de 2023 [citado 24 de abril de 2023</w:t>
      </w:r>
      <w:proofErr w:type="gramStart"/>
      <w:r w:rsidRPr="004D01B9">
        <w:rPr>
          <w:rFonts w:ascii="Calibri" w:hAnsi="Calibri" w:cs="Calibri"/>
        </w:rPr>
        <w:t>];542:117279</w:t>
      </w:r>
      <w:proofErr w:type="gramEnd"/>
      <w:r w:rsidRPr="004D01B9">
        <w:rPr>
          <w:rFonts w:ascii="Calibri" w:hAnsi="Calibri" w:cs="Calibri"/>
        </w:rPr>
        <w:t>. Disponible en: https://www.sciencedirect.com/science/article/pii/S0009898123000815</w:t>
      </w:r>
    </w:p>
    <w:p w14:paraId="15F37111" w14:textId="77777777" w:rsidR="004D01B9" w:rsidRPr="004D01B9" w:rsidRDefault="004D01B9" w:rsidP="004D01B9">
      <w:pPr>
        <w:pStyle w:val="Bibliografa"/>
        <w:jc w:val="both"/>
        <w:rPr>
          <w:rFonts w:ascii="Calibri" w:hAnsi="Calibri" w:cs="Calibri"/>
        </w:rPr>
      </w:pPr>
      <w:r w:rsidRPr="004D01B9">
        <w:rPr>
          <w:rFonts w:ascii="Calibri" w:hAnsi="Calibri" w:cs="Calibri"/>
        </w:rPr>
        <w:t>18.</w:t>
      </w:r>
      <w:r w:rsidRPr="004D01B9">
        <w:rPr>
          <w:rFonts w:ascii="Calibri" w:hAnsi="Calibri" w:cs="Calibri"/>
        </w:rPr>
        <w:tab/>
        <w:t xml:space="preserve">Martínez-Fleta P, </w:t>
      </w:r>
      <w:proofErr w:type="spellStart"/>
      <w:r w:rsidRPr="004D01B9">
        <w:rPr>
          <w:rFonts w:ascii="Calibri" w:hAnsi="Calibri" w:cs="Calibri"/>
        </w:rPr>
        <w:t>Alfranca</w:t>
      </w:r>
      <w:proofErr w:type="spellEnd"/>
      <w:r w:rsidRPr="004D01B9">
        <w:rPr>
          <w:rFonts w:ascii="Calibri" w:hAnsi="Calibri" w:cs="Calibri"/>
        </w:rPr>
        <w:t xml:space="preserve"> A, González-Álvaro I, </w:t>
      </w:r>
      <w:proofErr w:type="spellStart"/>
      <w:r w:rsidRPr="004D01B9">
        <w:rPr>
          <w:rFonts w:ascii="Calibri" w:hAnsi="Calibri" w:cs="Calibri"/>
        </w:rPr>
        <w:t>Casasnovas</w:t>
      </w:r>
      <w:proofErr w:type="spellEnd"/>
      <w:r w:rsidRPr="004D01B9">
        <w:rPr>
          <w:rFonts w:ascii="Calibri" w:hAnsi="Calibri" w:cs="Calibri"/>
        </w:rPr>
        <w:t xml:space="preserve"> JM, Fernández-Soto D, Esteso G, et al. SARS-CoV-2 </w:t>
      </w:r>
      <w:proofErr w:type="spellStart"/>
      <w:r w:rsidRPr="004D01B9">
        <w:rPr>
          <w:rFonts w:ascii="Calibri" w:hAnsi="Calibri" w:cs="Calibri"/>
        </w:rPr>
        <w:t>Cysteine-like</w:t>
      </w:r>
      <w:proofErr w:type="spellEnd"/>
      <w:r w:rsidRPr="004D01B9">
        <w:rPr>
          <w:rFonts w:ascii="Calibri" w:hAnsi="Calibri" w:cs="Calibri"/>
        </w:rPr>
        <w:t xml:space="preserve"> </w:t>
      </w:r>
      <w:proofErr w:type="spellStart"/>
      <w:r w:rsidRPr="004D01B9">
        <w:rPr>
          <w:rFonts w:ascii="Calibri" w:hAnsi="Calibri" w:cs="Calibri"/>
        </w:rPr>
        <w:t>Protease</w:t>
      </w:r>
      <w:proofErr w:type="spellEnd"/>
      <w:r w:rsidRPr="004D01B9">
        <w:rPr>
          <w:rFonts w:ascii="Calibri" w:hAnsi="Calibri" w:cs="Calibri"/>
        </w:rPr>
        <w:t xml:space="preserve"> </w:t>
      </w:r>
      <w:proofErr w:type="spellStart"/>
      <w:r w:rsidRPr="004D01B9">
        <w:rPr>
          <w:rFonts w:ascii="Calibri" w:hAnsi="Calibri" w:cs="Calibri"/>
        </w:rPr>
        <w:t>Antibodies</w:t>
      </w:r>
      <w:proofErr w:type="spellEnd"/>
      <w:r w:rsidRPr="004D01B9">
        <w:rPr>
          <w:rFonts w:ascii="Calibri" w:hAnsi="Calibri" w:cs="Calibri"/>
        </w:rPr>
        <w:t xml:space="preserve"> Can Be </w:t>
      </w:r>
      <w:proofErr w:type="spellStart"/>
      <w:r w:rsidRPr="004D01B9">
        <w:rPr>
          <w:rFonts w:ascii="Calibri" w:hAnsi="Calibri" w:cs="Calibri"/>
        </w:rPr>
        <w:t>Detected</w:t>
      </w:r>
      <w:proofErr w:type="spellEnd"/>
      <w:r w:rsidRPr="004D01B9">
        <w:rPr>
          <w:rFonts w:ascii="Calibri" w:hAnsi="Calibri" w:cs="Calibri"/>
        </w:rPr>
        <w:t xml:space="preserve"> in </w:t>
      </w:r>
      <w:proofErr w:type="spellStart"/>
      <w:r w:rsidRPr="004D01B9">
        <w:rPr>
          <w:rFonts w:ascii="Calibri" w:hAnsi="Calibri" w:cs="Calibri"/>
        </w:rPr>
        <w:t>Serum</w:t>
      </w:r>
      <w:proofErr w:type="spellEnd"/>
      <w:r w:rsidRPr="004D01B9">
        <w:rPr>
          <w:rFonts w:ascii="Calibri" w:hAnsi="Calibri" w:cs="Calibri"/>
        </w:rPr>
        <w:t xml:space="preserve"> and Saliva </w:t>
      </w:r>
      <w:proofErr w:type="spellStart"/>
      <w:r w:rsidRPr="004D01B9">
        <w:rPr>
          <w:rFonts w:ascii="Calibri" w:hAnsi="Calibri" w:cs="Calibri"/>
        </w:rPr>
        <w:t>of</w:t>
      </w:r>
      <w:proofErr w:type="spellEnd"/>
      <w:r w:rsidRPr="004D01B9">
        <w:rPr>
          <w:rFonts w:ascii="Calibri" w:hAnsi="Calibri" w:cs="Calibri"/>
        </w:rPr>
        <w:t xml:space="preserve"> COVID-19–Seropositive </w:t>
      </w:r>
      <w:proofErr w:type="spellStart"/>
      <w:r w:rsidRPr="004D01B9">
        <w:rPr>
          <w:rFonts w:ascii="Calibri" w:hAnsi="Calibri" w:cs="Calibri"/>
        </w:rPr>
        <w:t>Individuals</w:t>
      </w:r>
      <w:proofErr w:type="spellEnd"/>
      <w:r w:rsidRPr="004D01B9">
        <w:rPr>
          <w:rFonts w:ascii="Calibri" w:hAnsi="Calibri" w:cs="Calibri"/>
        </w:rPr>
        <w:t xml:space="preserve">. J </w:t>
      </w:r>
      <w:proofErr w:type="spellStart"/>
      <w:r w:rsidRPr="004D01B9">
        <w:rPr>
          <w:rFonts w:ascii="Calibri" w:hAnsi="Calibri" w:cs="Calibri"/>
        </w:rPr>
        <w:t>Immunol</w:t>
      </w:r>
      <w:proofErr w:type="spellEnd"/>
      <w:r w:rsidRPr="004D01B9">
        <w:rPr>
          <w:rFonts w:ascii="Calibri" w:hAnsi="Calibri" w:cs="Calibri"/>
        </w:rPr>
        <w:t xml:space="preserve"> [Internet]. 1 de diciembre de 2020 [citado 28 de abril de 2023];205(11):3130-40. Disponible en: https://doi.org/10.4049/jimmunol.2000842</w:t>
      </w:r>
    </w:p>
    <w:p w14:paraId="37455F89" w14:textId="77777777" w:rsidR="004D01B9" w:rsidRPr="004D01B9" w:rsidRDefault="004D01B9" w:rsidP="004D01B9">
      <w:pPr>
        <w:pStyle w:val="Bibliografa"/>
        <w:jc w:val="both"/>
        <w:rPr>
          <w:rFonts w:ascii="Calibri" w:hAnsi="Calibri" w:cs="Calibri"/>
        </w:rPr>
      </w:pPr>
      <w:r w:rsidRPr="004D01B9">
        <w:rPr>
          <w:rFonts w:ascii="Calibri" w:hAnsi="Calibri" w:cs="Calibri"/>
        </w:rPr>
        <w:t>19.</w:t>
      </w:r>
      <w:r w:rsidRPr="004D01B9">
        <w:rPr>
          <w:rFonts w:ascii="Calibri" w:hAnsi="Calibri" w:cs="Calibri"/>
        </w:rPr>
        <w:tab/>
      </w:r>
      <w:proofErr w:type="spellStart"/>
      <w:r w:rsidRPr="004D01B9">
        <w:rPr>
          <w:rFonts w:ascii="Calibri" w:hAnsi="Calibri" w:cs="Calibri"/>
        </w:rPr>
        <w:t>Chalkias</w:t>
      </w:r>
      <w:proofErr w:type="spellEnd"/>
      <w:r w:rsidRPr="004D01B9">
        <w:rPr>
          <w:rFonts w:ascii="Calibri" w:hAnsi="Calibri" w:cs="Calibri"/>
        </w:rPr>
        <w:t xml:space="preserve"> S, Eder F, </w:t>
      </w:r>
      <w:proofErr w:type="spellStart"/>
      <w:r w:rsidRPr="004D01B9">
        <w:rPr>
          <w:rFonts w:ascii="Calibri" w:hAnsi="Calibri" w:cs="Calibri"/>
        </w:rPr>
        <w:t>Essink</w:t>
      </w:r>
      <w:proofErr w:type="spellEnd"/>
      <w:r w:rsidRPr="004D01B9">
        <w:rPr>
          <w:rFonts w:ascii="Calibri" w:hAnsi="Calibri" w:cs="Calibri"/>
        </w:rPr>
        <w:t xml:space="preserve"> B, </w:t>
      </w:r>
      <w:proofErr w:type="spellStart"/>
      <w:r w:rsidRPr="004D01B9">
        <w:rPr>
          <w:rFonts w:ascii="Calibri" w:hAnsi="Calibri" w:cs="Calibri"/>
        </w:rPr>
        <w:t>Khetan</w:t>
      </w:r>
      <w:proofErr w:type="spellEnd"/>
      <w:r w:rsidRPr="004D01B9">
        <w:rPr>
          <w:rFonts w:ascii="Calibri" w:hAnsi="Calibri" w:cs="Calibri"/>
        </w:rPr>
        <w:t xml:space="preserve"> S, </w:t>
      </w:r>
      <w:proofErr w:type="spellStart"/>
      <w:r w:rsidRPr="004D01B9">
        <w:rPr>
          <w:rFonts w:ascii="Calibri" w:hAnsi="Calibri" w:cs="Calibri"/>
        </w:rPr>
        <w:t>Nestorova</w:t>
      </w:r>
      <w:proofErr w:type="spellEnd"/>
      <w:r w:rsidRPr="004D01B9">
        <w:rPr>
          <w:rFonts w:ascii="Calibri" w:hAnsi="Calibri" w:cs="Calibri"/>
        </w:rPr>
        <w:t xml:space="preserve"> B, Feng J, et al. Safety, </w:t>
      </w:r>
      <w:proofErr w:type="spellStart"/>
      <w:r w:rsidRPr="004D01B9">
        <w:rPr>
          <w:rFonts w:ascii="Calibri" w:hAnsi="Calibri" w:cs="Calibri"/>
        </w:rPr>
        <w:t>immunogenicity</w:t>
      </w:r>
      <w:proofErr w:type="spellEnd"/>
      <w:r w:rsidRPr="004D01B9">
        <w:rPr>
          <w:rFonts w:ascii="Calibri" w:hAnsi="Calibri" w:cs="Calibri"/>
        </w:rPr>
        <w:t xml:space="preserve"> and </w:t>
      </w:r>
      <w:proofErr w:type="spellStart"/>
      <w:r w:rsidRPr="004D01B9">
        <w:rPr>
          <w:rFonts w:ascii="Calibri" w:hAnsi="Calibri" w:cs="Calibri"/>
        </w:rPr>
        <w:t>antibody</w:t>
      </w:r>
      <w:proofErr w:type="spellEnd"/>
      <w:r w:rsidRPr="004D01B9">
        <w:rPr>
          <w:rFonts w:ascii="Calibri" w:hAnsi="Calibri" w:cs="Calibri"/>
        </w:rPr>
        <w:t xml:space="preserve"> </w:t>
      </w:r>
      <w:proofErr w:type="spellStart"/>
      <w:r w:rsidRPr="004D01B9">
        <w:rPr>
          <w:rFonts w:ascii="Calibri" w:hAnsi="Calibri" w:cs="Calibri"/>
        </w:rPr>
        <w:t>persistence</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a </w:t>
      </w:r>
      <w:proofErr w:type="spellStart"/>
      <w:r w:rsidRPr="004D01B9">
        <w:rPr>
          <w:rFonts w:ascii="Calibri" w:hAnsi="Calibri" w:cs="Calibri"/>
        </w:rPr>
        <w:t>bivalent</w:t>
      </w:r>
      <w:proofErr w:type="spellEnd"/>
      <w:r w:rsidRPr="004D01B9">
        <w:rPr>
          <w:rFonts w:ascii="Calibri" w:hAnsi="Calibri" w:cs="Calibri"/>
        </w:rPr>
        <w:t xml:space="preserve"> Beta-</w:t>
      </w:r>
      <w:proofErr w:type="spellStart"/>
      <w:r w:rsidRPr="004D01B9">
        <w:rPr>
          <w:rFonts w:ascii="Calibri" w:hAnsi="Calibri" w:cs="Calibri"/>
        </w:rPr>
        <w:t>containing</w:t>
      </w:r>
      <w:proofErr w:type="spellEnd"/>
      <w:r w:rsidRPr="004D01B9">
        <w:rPr>
          <w:rFonts w:ascii="Calibri" w:hAnsi="Calibri" w:cs="Calibri"/>
        </w:rPr>
        <w:t xml:space="preserve"> </w:t>
      </w:r>
      <w:proofErr w:type="spellStart"/>
      <w:r w:rsidRPr="004D01B9">
        <w:rPr>
          <w:rFonts w:ascii="Calibri" w:hAnsi="Calibri" w:cs="Calibri"/>
        </w:rPr>
        <w:t>booster</w:t>
      </w:r>
      <w:proofErr w:type="spellEnd"/>
      <w:r w:rsidRPr="004D01B9">
        <w:rPr>
          <w:rFonts w:ascii="Calibri" w:hAnsi="Calibri" w:cs="Calibri"/>
        </w:rPr>
        <w:t xml:space="preserve"> </w:t>
      </w:r>
      <w:proofErr w:type="spellStart"/>
      <w:r w:rsidRPr="004D01B9">
        <w:rPr>
          <w:rFonts w:ascii="Calibri" w:hAnsi="Calibri" w:cs="Calibri"/>
        </w:rPr>
        <w:t>vaccine</w:t>
      </w:r>
      <w:proofErr w:type="spellEnd"/>
      <w:r w:rsidRPr="004D01B9">
        <w:rPr>
          <w:rFonts w:ascii="Calibri" w:hAnsi="Calibri" w:cs="Calibri"/>
        </w:rPr>
        <w:t xml:space="preserve"> </w:t>
      </w:r>
      <w:proofErr w:type="spellStart"/>
      <w:r w:rsidRPr="004D01B9">
        <w:rPr>
          <w:rFonts w:ascii="Calibri" w:hAnsi="Calibri" w:cs="Calibri"/>
        </w:rPr>
        <w:t>against</w:t>
      </w:r>
      <w:proofErr w:type="spellEnd"/>
      <w:r w:rsidRPr="004D01B9">
        <w:rPr>
          <w:rFonts w:ascii="Calibri" w:hAnsi="Calibri" w:cs="Calibri"/>
        </w:rPr>
        <w:t xml:space="preserve"> COVID-19: a </w:t>
      </w:r>
      <w:proofErr w:type="spellStart"/>
      <w:r w:rsidRPr="004D01B9">
        <w:rPr>
          <w:rFonts w:ascii="Calibri" w:hAnsi="Calibri" w:cs="Calibri"/>
        </w:rPr>
        <w:t>phase</w:t>
      </w:r>
      <w:proofErr w:type="spellEnd"/>
      <w:r w:rsidRPr="004D01B9">
        <w:rPr>
          <w:rFonts w:ascii="Calibri" w:hAnsi="Calibri" w:cs="Calibri"/>
        </w:rPr>
        <w:t xml:space="preserve"> 2/3 trial. </w:t>
      </w:r>
      <w:proofErr w:type="spellStart"/>
      <w:r w:rsidRPr="004D01B9">
        <w:rPr>
          <w:rFonts w:ascii="Calibri" w:hAnsi="Calibri" w:cs="Calibri"/>
        </w:rPr>
        <w:t>Nat</w:t>
      </w:r>
      <w:proofErr w:type="spellEnd"/>
      <w:r w:rsidRPr="004D01B9">
        <w:rPr>
          <w:rFonts w:ascii="Calibri" w:hAnsi="Calibri" w:cs="Calibri"/>
        </w:rPr>
        <w:t xml:space="preserve"> </w:t>
      </w:r>
      <w:proofErr w:type="spellStart"/>
      <w:r w:rsidRPr="004D01B9">
        <w:rPr>
          <w:rFonts w:ascii="Calibri" w:hAnsi="Calibri" w:cs="Calibri"/>
        </w:rPr>
        <w:t>Med</w:t>
      </w:r>
      <w:proofErr w:type="spellEnd"/>
      <w:r w:rsidRPr="004D01B9">
        <w:rPr>
          <w:rFonts w:ascii="Calibri" w:hAnsi="Calibri" w:cs="Calibri"/>
        </w:rPr>
        <w:t xml:space="preserve">. noviembre de 2022;28(11):2388-97. </w:t>
      </w:r>
    </w:p>
    <w:p w14:paraId="7B6ED3BF" w14:textId="77777777" w:rsidR="004D01B9" w:rsidRPr="004D01B9" w:rsidRDefault="004D01B9" w:rsidP="004D01B9">
      <w:pPr>
        <w:pStyle w:val="Bibliografa"/>
        <w:jc w:val="both"/>
        <w:rPr>
          <w:rFonts w:ascii="Calibri" w:hAnsi="Calibri" w:cs="Calibri"/>
        </w:rPr>
      </w:pPr>
      <w:r w:rsidRPr="004D01B9">
        <w:rPr>
          <w:rFonts w:ascii="Calibri" w:hAnsi="Calibri" w:cs="Calibri"/>
        </w:rPr>
        <w:t>20.</w:t>
      </w:r>
      <w:r w:rsidRPr="004D01B9">
        <w:rPr>
          <w:rFonts w:ascii="Calibri" w:hAnsi="Calibri" w:cs="Calibri"/>
        </w:rPr>
        <w:tab/>
      </w:r>
      <w:proofErr w:type="spellStart"/>
      <w:r w:rsidRPr="004D01B9">
        <w:rPr>
          <w:rFonts w:ascii="Calibri" w:hAnsi="Calibri" w:cs="Calibri"/>
        </w:rPr>
        <w:t>Isho</w:t>
      </w:r>
      <w:proofErr w:type="spellEnd"/>
      <w:r w:rsidRPr="004D01B9">
        <w:rPr>
          <w:rFonts w:ascii="Calibri" w:hAnsi="Calibri" w:cs="Calibri"/>
        </w:rPr>
        <w:t xml:space="preserve"> B, Abe KT, </w:t>
      </w:r>
      <w:proofErr w:type="spellStart"/>
      <w:r w:rsidRPr="004D01B9">
        <w:rPr>
          <w:rFonts w:ascii="Calibri" w:hAnsi="Calibri" w:cs="Calibri"/>
        </w:rPr>
        <w:t>Zuo</w:t>
      </w:r>
      <w:proofErr w:type="spellEnd"/>
      <w:r w:rsidRPr="004D01B9">
        <w:rPr>
          <w:rFonts w:ascii="Calibri" w:hAnsi="Calibri" w:cs="Calibri"/>
        </w:rPr>
        <w:t xml:space="preserve"> M, Jamal AJ, </w:t>
      </w:r>
      <w:proofErr w:type="spellStart"/>
      <w:r w:rsidRPr="004D01B9">
        <w:rPr>
          <w:rFonts w:ascii="Calibri" w:hAnsi="Calibri" w:cs="Calibri"/>
        </w:rPr>
        <w:t>Rathod</w:t>
      </w:r>
      <w:proofErr w:type="spellEnd"/>
      <w:r w:rsidRPr="004D01B9">
        <w:rPr>
          <w:rFonts w:ascii="Calibri" w:hAnsi="Calibri" w:cs="Calibri"/>
        </w:rPr>
        <w:t xml:space="preserve"> B, Wang JH, et al. </w:t>
      </w:r>
      <w:proofErr w:type="spellStart"/>
      <w:r w:rsidRPr="004D01B9">
        <w:rPr>
          <w:rFonts w:ascii="Calibri" w:hAnsi="Calibri" w:cs="Calibri"/>
        </w:rPr>
        <w:t>Persistence</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w:t>
      </w:r>
      <w:proofErr w:type="spellStart"/>
      <w:r w:rsidRPr="004D01B9">
        <w:rPr>
          <w:rFonts w:ascii="Calibri" w:hAnsi="Calibri" w:cs="Calibri"/>
        </w:rPr>
        <w:t>serum</w:t>
      </w:r>
      <w:proofErr w:type="spellEnd"/>
      <w:r w:rsidRPr="004D01B9">
        <w:rPr>
          <w:rFonts w:ascii="Calibri" w:hAnsi="Calibri" w:cs="Calibri"/>
        </w:rPr>
        <w:t xml:space="preserve"> and saliva </w:t>
      </w:r>
      <w:proofErr w:type="spellStart"/>
      <w:r w:rsidRPr="004D01B9">
        <w:rPr>
          <w:rFonts w:ascii="Calibri" w:hAnsi="Calibri" w:cs="Calibri"/>
        </w:rPr>
        <w:t>antibody</w:t>
      </w:r>
      <w:proofErr w:type="spellEnd"/>
      <w:r w:rsidRPr="004D01B9">
        <w:rPr>
          <w:rFonts w:ascii="Calibri" w:hAnsi="Calibri" w:cs="Calibri"/>
        </w:rPr>
        <w:t xml:space="preserve"> responses </w:t>
      </w:r>
      <w:proofErr w:type="spellStart"/>
      <w:r w:rsidRPr="004D01B9">
        <w:rPr>
          <w:rFonts w:ascii="Calibri" w:hAnsi="Calibri" w:cs="Calibri"/>
        </w:rPr>
        <w:t>to</w:t>
      </w:r>
      <w:proofErr w:type="spellEnd"/>
      <w:r w:rsidRPr="004D01B9">
        <w:rPr>
          <w:rFonts w:ascii="Calibri" w:hAnsi="Calibri" w:cs="Calibri"/>
        </w:rPr>
        <w:t xml:space="preserve"> SARS-CoV-2 </w:t>
      </w:r>
      <w:proofErr w:type="spellStart"/>
      <w:r w:rsidRPr="004D01B9">
        <w:rPr>
          <w:rFonts w:ascii="Calibri" w:hAnsi="Calibri" w:cs="Calibri"/>
        </w:rPr>
        <w:t>spike</w:t>
      </w:r>
      <w:proofErr w:type="spellEnd"/>
      <w:r w:rsidRPr="004D01B9">
        <w:rPr>
          <w:rFonts w:ascii="Calibri" w:hAnsi="Calibri" w:cs="Calibri"/>
        </w:rPr>
        <w:t xml:space="preserve"> </w:t>
      </w:r>
      <w:proofErr w:type="spellStart"/>
      <w:r w:rsidRPr="004D01B9">
        <w:rPr>
          <w:rFonts w:ascii="Calibri" w:hAnsi="Calibri" w:cs="Calibri"/>
        </w:rPr>
        <w:t>antigens</w:t>
      </w:r>
      <w:proofErr w:type="spellEnd"/>
      <w:r w:rsidRPr="004D01B9">
        <w:rPr>
          <w:rFonts w:ascii="Calibri" w:hAnsi="Calibri" w:cs="Calibri"/>
        </w:rPr>
        <w:t xml:space="preserve"> in COVID-19 </w:t>
      </w:r>
      <w:proofErr w:type="spellStart"/>
      <w:r w:rsidRPr="004D01B9">
        <w:rPr>
          <w:rFonts w:ascii="Calibri" w:hAnsi="Calibri" w:cs="Calibri"/>
        </w:rPr>
        <w:t>patients</w:t>
      </w:r>
      <w:proofErr w:type="spellEnd"/>
      <w:r w:rsidRPr="004D01B9">
        <w:rPr>
          <w:rFonts w:ascii="Calibri" w:hAnsi="Calibri" w:cs="Calibri"/>
        </w:rPr>
        <w:t xml:space="preserve">. </w:t>
      </w:r>
      <w:proofErr w:type="spellStart"/>
      <w:r w:rsidRPr="004D01B9">
        <w:rPr>
          <w:rFonts w:ascii="Calibri" w:hAnsi="Calibri" w:cs="Calibri"/>
        </w:rPr>
        <w:t>Sci</w:t>
      </w:r>
      <w:proofErr w:type="spellEnd"/>
      <w:r w:rsidRPr="004D01B9">
        <w:rPr>
          <w:rFonts w:ascii="Calibri" w:hAnsi="Calibri" w:cs="Calibri"/>
        </w:rPr>
        <w:t xml:space="preserve"> </w:t>
      </w:r>
      <w:proofErr w:type="spellStart"/>
      <w:r w:rsidRPr="004D01B9">
        <w:rPr>
          <w:rFonts w:ascii="Calibri" w:hAnsi="Calibri" w:cs="Calibri"/>
        </w:rPr>
        <w:t>Immunol</w:t>
      </w:r>
      <w:proofErr w:type="spellEnd"/>
      <w:r w:rsidRPr="004D01B9">
        <w:rPr>
          <w:rFonts w:ascii="Calibri" w:hAnsi="Calibri" w:cs="Calibri"/>
        </w:rPr>
        <w:t xml:space="preserve">. 2020;5(52). </w:t>
      </w:r>
    </w:p>
    <w:p w14:paraId="65BE4371" w14:textId="77777777" w:rsidR="004D01B9" w:rsidRPr="004D01B9" w:rsidRDefault="004D01B9" w:rsidP="004D01B9">
      <w:pPr>
        <w:pStyle w:val="Bibliografa"/>
        <w:jc w:val="both"/>
        <w:rPr>
          <w:rFonts w:ascii="Calibri" w:hAnsi="Calibri" w:cs="Calibri"/>
        </w:rPr>
      </w:pPr>
      <w:r w:rsidRPr="004D01B9">
        <w:rPr>
          <w:rFonts w:ascii="Calibri" w:hAnsi="Calibri" w:cs="Calibri"/>
        </w:rPr>
        <w:t>21.</w:t>
      </w:r>
      <w:r w:rsidRPr="004D01B9">
        <w:rPr>
          <w:rFonts w:ascii="Calibri" w:hAnsi="Calibri" w:cs="Calibri"/>
        </w:rPr>
        <w:tab/>
      </w:r>
      <w:proofErr w:type="spellStart"/>
      <w:r w:rsidRPr="004D01B9">
        <w:rPr>
          <w:rFonts w:ascii="Calibri" w:hAnsi="Calibri" w:cs="Calibri"/>
        </w:rPr>
        <w:t>Zuanich</w:t>
      </w:r>
      <w:proofErr w:type="spellEnd"/>
      <w:r w:rsidRPr="004D01B9">
        <w:rPr>
          <w:rFonts w:ascii="Calibri" w:hAnsi="Calibri" w:cs="Calibri"/>
        </w:rPr>
        <w:t xml:space="preserve"> C, </w:t>
      </w:r>
      <w:proofErr w:type="spellStart"/>
      <w:r w:rsidRPr="004D01B9">
        <w:rPr>
          <w:rFonts w:ascii="Calibri" w:hAnsi="Calibri" w:cs="Calibri"/>
        </w:rPr>
        <w:t>Garcia</w:t>
      </w:r>
      <w:proofErr w:type="spellEnd"/>
      <w:r w:rsidRPr="004D01B9">
        <w:rPr>
          <w:rFonts w:ascii="Calibri" w:hAnsi="Calibri" w:cs="Calibri"/>
        </w:rPr>
        <w:t xml:space="preserve"> </w:t>
      </w:r>
      <w:proofErr w:type="spellStart"/>
      <w:r w:rsidRPr="004D01B9">
        <w:rPr>
          <w:rFonts w:ascii="Calibri" w:hAnsi="Calibri" w:cs="Calibri"/>
        </w:rPr>
        <w:t>Rosolen</w:t>
      </w:r>
      <w:proofErr w:type="spellEnd"/>
      <w:r w:rsidRPr="004D01B9">
        <w:rPr>
          <w:rFonts w:ascii="Calibri" w:hAnsi="Calibri" w:cs="Calibri"/>
        </w:rPr>
        <w:t xml:space="preserve"> N, Olmos Vargas P, Arévalo D, </w:t>
      </w:r>
      <w:proofErr w:type="spellStart"/>
      <w:r w:rsidRPr="004D01B9">
        <w:rPr>
          <w:rFonts w:ascii="Calibri" w:hAnsi="Calibri" w:cs="Calibri"/>
        </w:rPr>
        <w:t>Donati</w:t>
      </w:r>
      <w:proofErr w:type="spellEnd"/>
      <w:r w:rsidRPr="004D01B9">
        <w:rPr>
          <w:rFonts w:ascii="Calibri" w:hAnsi="Calibri" w:cs="Calibri"/>
        </w:rPr>
        <w:t xml:space="preserve"> P, </w:t>
      </w:r>
      <w:proofErr w:type="spellStart"/>
      <w:r w:rsidRPr="004D01B9">
        <w:rPr>
          <w:rFonts w:ascii="Calibri" w:hAnsi="Calibri" w:cs="Calibri"/>
        </w:rPr>
        <w:t>Balbaryski</w:t>
      </w:r>
      <w:proofErr w:type="spellEnd"/>
      <w:r w:rsidRPr="004D01B9">
        <w:rPr>
          <w:rFonts w:ascii="Calibri" w:hAnsi="Calibri" w:cs="Calibri"/>
        </w:rPr>
        <w:t xml:space="preserve"> J. [SARS-CoV-2 </w:t>
      </w:r>
      <w:proofErr w:type="spellStart"/>
      <w:r w:rsidRPr="004D01B9">
        <w:rPr>
          <w:rFonts w:ascii="Calibri" w:hAnsi="Calibri" w:cs="Calibri"/>
        </w:rPr>
        <w:t>antibodies</w:t>
      </w:r>
      <w:proofErr w:type="spellEnd"/>
      <w:r w:rsidRPr="004D01B9">
        <w:rPr>
          <w:rFonts w:ascii="Calibri" w:hAnsi="Calibri" w:cs="Calibri"/>
        </w:rPr>
        <w:t xml:space="preserve"> </w:t>
      </w:r>
      <w:proofErr w:type="spellStart"/>
      <w:r w:rsidRPr="004D01B9">
        <w:rPr>
          <w:rFonts w:ascii="Calibri" w:hAnsi="Calibri" w:cs="Calibri"/>
        </w:rPr>
        <w:t>kinetics</w:t>
      </w:r>
      <w:proofErr w:type="spellEnd"/>
      <w:r w:rsidRPr="004D01B9">
        <w:rPr>
          <w:rFonts w:ascii="Calibri" w:hAnsi="Calibri" w:cs="Calibri"/>
        </w:rPr>
        <w:t xml:space="preserve"> in </w:t>
      </w:r>
      <w:proofErr w:type="spellStart"/>
      <w:r w:rsidRPr="004D01B9">
        <w:rPr>
          <w:rFonts w:ascii="Calibri" w:hAnsi="Calibri" w:cs="Calibri"/>
        </w:rPr>
        <w:t>hospitalized</w:t>
      </w:r>
      <w:proofErr w:type="spellEnd"/>
      <w:r w:rsidRPr="004D01B9">
        <w:rPr>
          <w:rFonts w:ascii="Calibri" w:hAnsi="Calibri" w:cs="Calibri"/>
        </w:rPr>
        <w:t xml:space="preserve"> </w:t>
      </w:r>
      <w:proofErr w:type="spellStart"/>
      <w:r w:rsidRPr="004D01B9">
        <w:rPr>
          <w:rFonts w:ascii="Calibri" w:hAnsi="Calibri" w:cs="Calibri"/>
        </w:rPr>
        <w:t>patients</w:t>
      </w:r>
      <w:proofErr w:type="spellEnd"/>
      <w:r w:rsidRPr="004D01B9">
        <w:rPr>
          <w:rFonts w:ascii="Calibri" w:hAnsi="Calibri" w:cs="Calibri"/>
        </w:rPr>
        <w:t xml:space="preserve">]. Medicina (Mex). 2022;82(1):3-12. </w:t>
      </w:r>
    </w:p>
    <w:p w14:paraId="4F2E2609" w14:textId="77777777" w:rsidR="004D01B9" w:rsidRPr="004D01B9" w:rsidRDefault="004D01B9" w:rsidP="004D01B9">
      <w:pPr>
        <w:pStyle w:val="Bibliografa"/>
        <w:jc w:val="both"/>
        <w:rPr>
          <w:rFonts w:ascii="Calibri" w:hAnsi="Calibri" w:cs="Calibri"/>
        </w:rPr>
      </w:pPr>
      <w:r w:rsidRPr="004D01B9">
        <w:rPr>
          <w:rFonts w:ascii="Calibri" w:hAnsi="Calibri" w:cs="Calibri"/>
        </w:rPr>
        <w:lastRenderedPageBreak/>
        <w:t>22.</w:t>
      </w:r>
      <w:r w:rsidRPr="004D01B9">
        <w:rPr>
          <w:rFonts w:ascii="Calibri" w:hAnsi="Calibri" w:cs="Calibri"/>
        </w:rPr>
        <w:tab/>
        <w:t>Carías-Alvarado CC, López-</w:t>
      </w:r>
      <w:proofErr w:type="spellStart"/>
      <w:r w:rsidRPr="004D01B9">
        <w:rPr>
          <w:rFonts w:ascii="Calibri" w:hAnsi="Calibri" w:cs="Calibri"/>
        </w:rPr>
        <w:t>Hun</w:t>
      </w:r>
      <w:proofErr w:type="spellEnd"/>
      <w:r w:rsidRPr="004D01B9">
        <w:rPr>
          <w:rFonts w:ascii="Calibri" w:hAnsi="Calibri" w:cs="Calibri"/>
        </w:rPr>
        <w:t xml:space="preserve"> F, </w:t>
      </w:r>
      <w:proofErr w:type="spellStart"/>
      <w:r w:rsidRPr="004D01B9">
        <w:rPr>
          <w:rFonts w:ascii="Calibri" w:hAnsi="Calibri" w:cs="Calibri"/>
        </w:rPr>
        <w:t>Valvert</w:t>
      </w:r>
      <w:proofErr w:type="spellEnd"/>
      <w:r w:rsidRPr="004D01B9">
        <w:rPr>
          <w:rFonts w:ascii="Calibri" w:hAnsi="Calibri" w:cs="Calibri"/>
        </w:rPr>
        <w:t xml:space="preserve"> F, Barrios-Menéndez JC, </w:t>
      </w:r>
      <w:proofErr w:type="spellStart"/>
      <w:r w:rsidRPr="004D01B9">
        <w:rPr>
          <w:rFonts w:ascii="Calibri" w:hAnsi="Calibri" w:cs="Calibri"/>
        </w:rPr>
        <w:t>Kihn</w:t>
      </w:r>
      <w:proofErr w:type="spellEnd"/>
      <w:r w:rsidRPr="004D01B9">
        <w:rPr>
          <w:rFonts w:ascii="Calibri" w:hAnsi="Calibri" w:cs="Calibri"/>
        </w:rPr>
        <w:t xml:space="preserve">-Alarcón A, Falla V de, et al. Anti-SARS-CoV-2 IgG </w:t>
      </w:r>
      <w:proofErr w:type="spellStart"/>
      <w:r w:rsidRPr="004D01B9">
        <w:rPr>
          <w:rFonts w:ascii="Calibri" w:hAnsi="Calibri" w:cs="Calibri"/>
        </w:rPr>
        <w:t>antibodies</w:t>
      </w:r>
      <w:proofErr w:type="spellEnd"/>
      <w:r w:rsidRPr="004D01B9">
        <w:rPr>
          <w:rFonts w:ascii="Calibri" w:hAnsi="Calibri" w:cs="Calibri"/>
        </w:rPr>
        <w:t xml:space="preserve"> pre- and </w:t>
      </w:r>
      <w:proofErr w:type="spellStart"/>
      <w:r w:rsidRPr="004D01B9">
        <w:rPr>
          <w:rFonts w:ascii="Calibri" w:hAnsi="Calibri" w:cs="Calibri"/>
        </w:rPr>
        <w:t>post-vaccination</w:t>
      </w:r>
      <w:proofErr w:type="spellEnd"/>
      <w:r w:rsidRPr="004D01B9">
        <w:rPr>
          <w:rFonts w:ascii="Calibri" w:hAnsi="Calibri" w:cs="Calibri"/>
        </w:rPr>
        <w:t xml:space="preserve"> </w:t>
      </w:r>
      <w:proofErr w:type="spellStart"/>
      <w:r w:rsidRPr="004D01B9">
        <w:rPr>
          <w:rFonts w:ascii="Calibri" w:hAnsi="Calibri" w:cs="Calibri"/>
        </w:rPr>
        <w:t>behavior</w:t>
      </w:r>
      <w:proofErr w:type="spellEnd"/>
      <w:r w:rsidRPr="004D01B9">
        <w:rPr>
          <w:rFonts w:ascii="Calibri" w:hAnsi="Calibri" w:cs="Calibri"/>
        </w:rPr>
        <w:t xml:space="preserve"> in </w:t>
      </w:r>
      <w:proofErr w:type="spellStart"/>
      <w:r w:rsidRPr="004D01B9">
        <w:rPr>
          <w:rFonts w:ascii="Calibri" w:hAnsi="Calibri" w:cs="Calibri"/>
        </w:rPr>
        <w:t>health</w:t>
      </w:r>
      <w:proofErr w:type="spellEnd"/>
      <w:r w:rsidRPr="004D01B9">
        <w:rPr>
          <w:rFonts w:ascii="Calibri" w:hAnsi="Calibri" w:cs="Calibri"/>
        </w:rPr>
        <w:t xml:space="preserve"> </w:t>
      </w:r>
      <w:proofErr w:type="spellStart"/>
      <w:r w:rsidRPr="004D01B9">
        <w:rPr>
          <w:rFonts w:ascii="Calibri" w:hAnsi="Calibri" w:cs="Calibri"/>
        </w:rPr>
        <w:t>workers</w:t>
      </w:r>
      <w:proofErr w:type="spellEnd"/>
      <w:r w:rsidRPr="004D01B9">
        <w:rPr>
          <w:rFonts w:ascii="Calibri" w:hAnsi="Calibri" w:cs="Calibri"/>
        </w:rPr>
        <w:t xml:space="preserve"> </w:t>
      </w:r>
      <w:proofErr w:type="spellStart"/>
      <w:r w:rsidRPr="004D01B9">
        <w:rPr>
          <w:rFonts w:ascii="Calibri" w:hAnsi="Calibri" w:cs="Calibri"/>
        </w:rPr>
        <w:t>from</w:t>
      </w:r>
      <w:proofErr w:type="spellEnd"/>
      <w:r w:rsidRPr="004D01B9">
        <w:rPr>
          <w:rFonts w:ascii="Calibri" w:hAnsi="Calibri" w:cs="Calibri"/>
        </w:rPr>
        <w:t xml:space="preserve"> a </w:t>
      </w:r>
      <w:proofErr w:type="spellStart"/>
      <w:r w:rsidRPr="004D01B9">
        <w:rPr>
          <w:rFonts w:ascii="Calibri" w:hAnsi="Calibri" w:cs="Calibri"/>
        </w:rPr>
        <w:t>Guatemalan</w:t>
      </w:r>
      <w:proofErr w:type="spellEnd"/>
      <w:r w:rsidRPr="004D01B9">
        <w:rPr>
          <w:rFonts w:ascii="Calibri" w:hAnsi="Calibri" w:cs="Calibri"/>
        </w:rPr>
        <w:t xml:space="preserve"> </w:t>
      </w:r>
      <w:proofErr w:type="spellStart"/>
      <w:r w:rsidRPr="004D01B9">
        <w:rPr>
          <w:rFonts w:ascii="Calibri" w:hAnsi="Calibri" w:cs="Calibri"/>
        </w:rPr>
        <w:t>cancer</w:t>
      </w:r>
      <w:proofErr w:type="spellEnd"/>
      <w:r w:rsidRPr="004D01B9">
        <w:rPr>
          <w:rFonts w:ascii="Calibri" w:hAnsi="Calibri" w:cs="Calibri"/>
        </w:rPr>
        <w:t xml:space="preserve"> center. </w:t>
      </w:r>
      <w:proofErr w:type="spellStart"/>
      <w:r w:rsidRPr="004D01B9">
        <w:rPr>
          <w:rFonts w:ascii="Calibri" w:hAnsi="Calibri" w:cs="Calibri"/>
        </w:rPr>
        <w:t>Gac</w:t>
      </w:r>
      <w:proofErr w:type="spellEnd"/>
      <w:r w:rsidRPr="004D01B9">
        <w:rPr>
          <w:rFonts w:ascii="Calibri" w:hAnsi="Calibri" w:cs="Calibri"/>
        </w:rPr>
        <w:t xml:space="preserve"> </w:t>
      </w:r>
      <w:proofErr w:type="spellStart"/>
      <w:r w:rsidRPr="004D01B9">
        <w:rPr>
          <w:rFonts w:ascii="Calibri" w:hAnsi="Calibri" w:cs="Calibri"/>
        </w:rPr>
        <w:t>Med</w:t>
      </w:r>
      <w:proofErr w:type="spellEnd"/>
      <w:r w:rsidRPr="004D01B9">
        <w:rPr>
          <w:rFonts w:ascii="Calibri" w:hAnsi="Calibri" w:cs="Calibri"/>
        </w:rPr>
        <w:t xml:space="preserve"> Mex. 2022;158(2):78-82. </w:t>
      </w:r>
    </w:p>
    <w:p w14:paraId="3875F4E5" w14:textId="77777777" w:rsidR="004D01B9" w:rsidRPr="004D01B9" w:rsidRDefault="004D01B9" w:rsidP="004D01B9">
      <w:pPr>
        <w:pStyle w:val="Bibliografa"/>
        <w:jc w:val="both"/>
        <w:rPr>
          <w:rFonts w:ascii="Calibri" w:hAnsi="Calibri" w:cs="Calibri"/>
        </w:rPr>
      </w:pPr>
      <w:r w:rsidRPr="004D01B9">
        <w:rPr>
          <w:rFonts w:ascii="Calibri" w:hAnsi="Calibri" w:cs="Calibri"/>
        </w:rPr>
        <w:t>23.</w:t>
      </w:r>
      <w:r w:rsidRPr="004D01B9">
        <w:rPr>
          <w:rFonts w:ascii="Calibri" w:hAnsi="Calibri" w:cs="Calibri"/>
        </w:rPr>
        <w:tab/>
      </w:r>
      <w:proofErr w:type="spellStart"/>
      <w:r w:rsidRPr="004D01B9">
        <w:rPr>
          <w:rFonts w:ascii="Calibri" w:hAnsi="Calibri" w:cs="Calibri"/>
        </w:rPr>
        <w:t>Olmstead</w:t>
      </w:r>
      <w:proofErr w:type="spellEnd"/>
      <w:r w:rsidRPr="004D01B9">
        <w:rPr>
          <w:rFonts w:ascii="Calibri" w:hAnsi="Calibri" w:cs="Calibri"/>
        </w:rPr>
        <w:t xml:space="preserve"> AD, </w:t>
      </w:r>
      <w:proofErr w:type="spellStart"/>
      <w:r w:rsidRPr="004D01B9">
        <w:rPr>
          <w:rFonts w:ascii="Calibri" w:hAnsi="Calibri" w:cs="Calibri"/>
        </w:rPr>
        <w:t>Nikiforuk</w:t>
      </w:r>
      <w:proofErr w:type="spellEnd"/>
      <w:r w:rsidRPr="004D01B9">
        <w:rPr>
          <w:rFonts w:ascii="Calibri" w:hAnsi="Calibri" w:cs="Calibri"/>
        </w:rPr>
        <w:t xml:space="preserve"> AM, Schwartz S, Márquez AC, </w:t>
      </w:r>
      <w:proofErr w:type="spellStart"/>
      <w:r w:rsidRPr="004D01B9">
        <w:rPr>
          <w:rFonts w:ascii="Calibri" w:hAnsi="Calibri" w:cs="Calibri"/>
        </w:rPr>
        <w:t>Valadbeigy</w:t>
      </w:r>
      <w:proofErr w:type="spellEnd"/>
      <w:r w:rsidRPr="004D01B9">
        <w:rPr>
          <w:rFonts w:ascii="Calibri" w:hAnsi="Calibri" w:cs="Calibri"/>
        </w:rPr>
        <w:t xml:space="preserve"> T, Flores E, et al. </w:t>
      </w:r>
      <w:proofErr w:type="spellStart"/>
      <w:r w:rsidRPr="004D01B9">
        <w:rPr>
          <w:rFonts w:ascii="Calibri" w:hAnsi="Calibri" w:cs="Calibri"/>
        </w:rPr>
        <w:t>Characterizing</w:t>
      </w:r>
      <w:proofErr w:type="spellEnd"/>
      <w:r w:rsidRPr="004D01B9">
        <w:rPr>
          <w:rFonts w:ascii="Calibri" w:hAnsi="Calibri" w:cs="Calibri"/>
        </w:rPr>
        <w:t xml:space="preserve"> Longitudinal </w:t>
      </w:r>
      <w:proofErr w:type="spellStart"/>
      <w:r w:rsidRPr="004D01B9">
        <w:rPr>
          <w:rFonts w:ascii="Calibri" w:hAnsi="Calibri" w:cs="Calibri"/>
        </w:rPr>
        <w:t>Antibody</w:t>
      </w:r>
      <w:proofErr w:type="spellEnd"/>
      <w:r w:rsidRPr="004D01B9">
        <w:rPr>
          <w:rFonts w:ascii="Calibri" w:hAnsi="Calibri" w:cs="Calibri"/>
        </w:rPr>
        <w:t xml:space="preserve"> Responses in </w:t>
      </w:r>
      <w:proofErr w:type="spellStart"/>
      <w:r w:rsidRPr="004D01B9">
        <w:rPr>
          <w:rFonts w:ascii="Calibri" w:hAnsi="Calibri" w:cs="Calibri"/>
        </w:rPr>
        <w:t>Recovered</w:t>
      </w:r>
      <w:proofErr w:type="spellEnd"/>
      <w:r w:rsidRPr="004D01B9">
        <w:rPr>
          <w:rFonts w:ascii="Calibri" w:hAnsi="Calibri" w:cs="Calibri"/>
        </w:rPr>
        <w:t xml:space="preserve"> </w:t>
      </w:r>
      <w:proofErr w:type="spellStart"/>
      <w:r w:rsidRPr="004D01B9">
        <w:rPr>
          <w:rFonts w:ascii="Calibri" w:hAnsi="Calibri" w:cs="Calibri"/>
        </w:rPr>
        <w:t>Individuals</w:t>
      </w:r>
      <w:proofErr w:type="spellEnd"/>
      <w:r w:rsidRPr="004D01B9">
        <w:rPr>
          <w:rFonts w:ascii="Calibri" w:hAnsi="Calibri" w:cs="Calibri"/>
        </w:rPr>
        <w:t xml:space="preserve"> Following COVID-19 </w:t>
      </w:r>
      <w:proofErr w:type="spellStart"/>
      <w:r w:rsidRPr="004D01B9">
        <w:rPr>
          <w:rFonts w:ascii="Calibri" w:hAnsi="Calibri" w:cs="Calibri"/>
        </w:rPr>
        <w:t>Infection</w:t>
      </w:r>
      <w:proofErr w:type="spellEnd"/>
      <w:r w:rsidRPr="004D01B9">
        <w:rPr>
          <w:rFonts w:ascii="Calibri" w:hAnsi="Calibri" w:cs="Calibri"/>
        </w:rPr>
        <w:t xml:space="preserve"> and </w:t>
      </w:r>
      <w:proofErr w:type="gramStart"/>
      <w:r w:rsidRPr="004D01B9">
        <w:rPr>
          <w:rFonts w:ascii="Calibri" w:hAnsi="Calibri" w:cs="Calibri"/>
        </w:rPr>
        <w:t>Single</w:t>
      </w:r>
      <w:proofErr w:type="gramEnd"/>
      <w:r w:rsidRPr="004D01B9">
        <w:rPr>
          <w:rFonts w:ascii="Calibri" w:hAnsi="Calibri" w:cs="Calibri"/>
        </w:rPr>
        <w:t>-</w:t>
      </w:r>
      <w:proofErr w:type="spellStart"/>
      <w:r w:rsidRPr="004D01B9">
        <w:rPr>
          <w:rFonts w:ascii="Calibri" w:hAnsi="Calibri" w:cs="Calibri"/>
        </w:rPr>
        <w:t>Dose</w:t>
      </w:r>
      <w:proofErr w:type="spellEnd"/>
      <w:r w:rsidRPr="004D01B9">
        <w:rPr>
          <w:rFonts w:ascii="Calibri" w:hAnsi="Calibri" w:cs="Calibri"/>
        </w:rPr>
        <w:t xml:space="preserve"> </w:t>
      </w:r>
      <w:proofErr w:type="spellStart"/>
      <w:r w:rsidRPr="004D01B9">
        <w:rPr>
          <w:rFonts w:ascii="Calibri" w:hAnsi="Calibri" w:cs="Calibri"/>
        </w:rPr>
        <w:t>Vaccination</w:t>
      </w:r>
      <w:proofErr w:type="spellEnd"/>
      <w:r w:rsidRPr="004D01B9">
        <w:rPr>
          <w:rFonts w:ascii="Calibri" w:hAnsi="Calibri" w:cs="Calibri"/>
        </w:rPr>
        <w:t xml:space="preserve">: A Prospective </w:t>
      </w:r>
      <w:proofErr w:type="spellStart"/>
      <w:r w:rsidRPr="004D01B9">
        <w:rPr>
          <w:rFonts w:ascii="Calibri" w:hAnsi="Calibri" w:cs="Calibri"/>
        </w:rPr>
        <w:t>Cohort</w:t>
      </w:r>
      <w:proofErr w:type="spellEnd"/>
      <w:r w:rsidRPr="004D01B9">
        <w:rPr>
          <w:rFonts w:ascii="Calibri" w:hAnsi="Calibri" w:cs="Calibri"/>
        </w:rPr>
        <w:t xml:space="preserve"> </w:t>
      </w:r>
      <w:proofErr w:type="spellStart"/>
      <w:r w:rsidRPr="004D01B9">
        <w:rPr>
          <w:rFonts w:ascii="Calibri" w:hAnsi="Calibri" w:cs="Calibri"/>
        </w:rPr>
        <w:t>Study</w:t>
      </w:r>
      <w:proofErr w:type="spellEnd"/>
      <w:r w:rsidRPr="004D01B9">
        <w:rPr>
          <w:rFonts w:ascii="Calibri" w:hAnsi="Calibri" w:cs="Calibri"/>
        </w:rPr>
        <w:t xml:space="preserve">. </w:t>
      </w:r>
      <w:proofErr w:type="spellStart"/>
      <w:r w:rsidRPr="004D01B9">
        <w:rPr>
          <w:rFonts w:ascii="Calibri" w:hAnsi="Calibri" w:cs="Calibri"/>
        </w:rPr>
        <w:t>Viruses</w:t>
      </w:r>
      <w:proofErr w:type="spellEnd"/>
      <w:r w:rsidRPr="004D01B9">
        <w:rPr>
          <w:rFonts w:ascii="Calibri" w:hAnsi="Calibri" w:cs="Calibri"/>
        </w:rPr>
        <w:t xml:space="preserve">. 31 de octubre de 2022;14(11):2416. </w:t>
      </w:r>
    </w:p>
    <w:p w14:paraId="2040D5ED" w14:textId="77777777" w:rsidR="004D01B9" w:rsidRPr="004D01B9" w:rsidRDefault="004D01B9" w:rsidP="004D01B9">
      <w:pPr>
        <w:pStyle w:val="Bibliografa"/>
        <w:jc w:val="both"/>
        <w:rPr>
          <w:rFonts w:ascii="Calibri" w:hAnsi="Calibri" w:cs="Calibri"/>
        </w:rPr>
      </w:pPr>
      <w:r w:rsidRPr="004D01B9">
        <w:rPr>
          <w:rFonts w:ascii="Calibri" w:hAnsi="Calibri" w:cs="Calibri"/>
        </w:rPr>
        <w:t>24.</w:t>
      </w:r>
      <w:r w:rsidRPr="004D01B9">
        <w:rPr>
          <w:rFonts w:ascii="Calibri" w:hAnsi="Calibri" w:cs="Calibri"/>
        </w:rPr>
        <w:tab/>
        <w:t xml:space="preserve">Información para entender cómo actúan las vacunas contra el COVID-19 [Internet]. Centers </w:t>
      </w:r>
      <w:proofErr w:type="spellStart"/>
      <w:r w:rsidRPr="004D01B9">
        <w:rPr>
          <w:rFonts w:ascii="Calibri" w:hAnsi="Calibri" w:cs="Calibri"/>
        </w:rPr>
        <w:t>for</w:t>
      </w:r>
      <w:proofErr w:type="spellEnd"/>
      <w:r w:rsidRPr="004D01B9">
        <w:rPr>
          <w:rFonts w:ascii="Calibri" w:hAnsi="Calibri" w:cs="Calibri"/>
        </w:rPr>
        <w:t xml:space="preserve"> </w:t>
      </w:r>
      <w:proofErr w:type="spellStart"/>
      <w:r w:rsidRPr="004D01B9">
        <w:rPr>
          <w:rFonts w:ascii="Calibri" w:hAnsi="Calibri" w:cs="Calibri"/>
        </w:rPr>
        <w:t>Disease</w:t>
      </w:r>
      <w:proofErr w:type="spellEnd"/>
      <w:r w:rsidRPr="004D01B9">
        <w:rPr>
          <w:rFonts w:ascii="Calibri" w:hAnsi="Calibri" w:cs="Calibri"/>
        </w:rPr>
        <w:t xml:space="preserve"> Control and </w:t>
      </w:r>
      <w:proofErr w:type="spellStart"/>
      <w:r w:rsidRPr="004D01B9">
        <w:rPr>
          <w:rFonts w:ascii="Calibri" w:hAnsi="Calibri" w:cs="Calibri"/>
        </w:rPr>
        <w:t>Prevention</w:t>
      </w:r>
      <w:proofErr w:type="spellEnd"/>
      <w:r w:rsidRPr="004D01B9">
        <w:rPr>
          <w:rFonts w:ascii="Calibri" w:hAnsi="Calibri" w:cs="Calibri"/>
        </w:rPr>
        <w:t>. 2023 [citado 26 de abril de 2023]. Disponible en: https://espanol.cdc.gov/coronavirus/2019-ncov/vaccines/different-vaccines/how-they-work.html</w:t>
      </w:r>
    </w:p>
    <w:p w14:paraId="725BABAD" w14:textId="77777777" w:rsidR="004D01B9" w:rsidRPr="004D01B9" w:rsidRDefault="004D01B9" w:rsidP="004D01B9">
      <w:pPr>
        <w:pStyle w:val="Bibliografa"/>
        <w:jc w:val="both"/>
        <w:rPr>
          <w:rFonts w:ascii="Calibri" w:hAnsi="Calibri" w:cs="Calibri"/>
        </w:rPr>
      </w:pPr>
      <w:r w:rsidRPr="004D01B9">
        <w:rPr>
          <w:rFonts w:ascii="Calibri" w:hAnsi="Calibri" w:cs="Calibri"/>
        </w:rPr>
        <w:t>25.</w:t>
      </w:r>
      <w:r w:rsidRPr="004D01B9">
        <w:rPr>
          <w:rFonts w:ascii="Calibri" w:hAnsi="Calibri" w:cs="Calibri"/>
        </w:rPr>
        <w:tab/>
        <w:t>Carías-Alvarado CC, López-</w:t>
      </w:r>
      <w:proofErr w:type="spellStart"/>
      <w:r w:rsidRPr="004D01B9">
        <w:rPr>
          <w:rFonts w:ascii="Calibri" w:hAnsi="Calibri" w:cs="Calibri"/>
        </w:rPr>
        <w:t>Hun</w:t>
      </w:r>
      <w:proofErr w:type="spellEnd"/>
      <w:r w:rsidRPr="004D01B9">
        <w:rPr>
          <w:rFonts w:ascii="Calibri" w:hAnsi="Calibri" w:cs="Calibri"/>
        </w:rPr>
        <w:t xml:space="preserve"> F, </w:t>
      </w:r>
      <w:proofErr w:type="spellStart"/>
      <w:r w:rsidRPr="004D01B9">
        <w:rPr>
          <w:rFonts w:ascii="Calibri" w:hAnsi="Calibri" w:cs="Calibri"/>
        </w:rPr>
        <w:t>Valvert</w:t>
      </w:r>
      <w:proofErr w:type="spellEnd"/>
      <w:r w:rsidRPr="004D01B9">
        <w:rPr>
          <w:rFonts w:ascii="Calibri" w:hAnsi="Calibri" w:cs="Calibri"/>
        </w:rPr>
        <w:t xml:space="preserve"> F, Barrios-Menéndez JC, </w:t>
      </w:r>
      <w:proofErr w:type="spellStart"/>
      <w:r w:rsidRPr="004D01B9">
        <w:rPr>
          <w:rFonts w:ascii="Calibri" w:hAnsi="Calibri" w:cs="Calibri"/>
        </w:rPr>
        <w:t>Kihn</w:t>
      </w:r>
      <w:proofErr w:type="spellEnd"/>
      <w:r w:rsidRPr="004D01B9">
        <w:rPr>
          <w:rFonts w:ascii="Calibri" w:hAnsi="Calibri" w:cs="Calibri"/>
        </w:rPr>
        <w:t xml:space="preserve">-Alarcón A, de Falla V, et al. Comportamiento de anticuerpos IgG anti-SARS-CoV-2 en trabajadores de salud pre y </w:t>
      </w:r>
      <w:proofErr w:type="spellStart"/>
      <w:r w:rsidRPr="004D01B9">
        <w:rPr>
          <w:rFonts w:ascii="Calibri" w:hAnsi="Calibri" w:cs="Calibri"/>
        </w:rPr>
        <w:t>posvacunación</w:t>
      </w:r>
      <w:proofErr w:type="spellEnd"/>
      <w:r w:rsidRPr="004D01B9">
        <w:rPr>
          <w:rFonts w:ascii="Calibri" w:hAnsi="Calibri" w:cs="Calibri"/>
        </w:rPr>
        <w:t xml:space="preserve"> en un centro oncológico de Guatemala. </w:t>
      </w:r>
      <w:proofErr w:type="spellStart"/>
      <w:r w:rsidRPr="004D01B9">
        <w:rPr>
          <w:rFonts w:ascii="Calibri" w:hAnsi="Calibri" w:cs="Calibri"/>
        </w:rPr>
        <w:t>Gac</w:t>
      </w:r>
      <w:proofErr w:type="spellEnd"/>
      <w:r w:rsidRPr="004D01B9">
        <w:rPr>
          <w:rFonts w:ascii="Calibri" w:hAnsi="Calibri" w:cs="Calibri"/>
        </w:rPr>
        <w:t xml:space="preserve"> Médica México [Internet]. 2022 [citado 26 de abril de 2023];158(2). Disponible en: https://www.gacetamedicademexico.com/frame_esp.php?id=702</w:t>
      </w:r>
    </w:p>
    <w:p w14:paraId="41D61019" w14:textId="77777777" w:rsidR="004D01B9" w:rsidRPr="004D01B9" w:rsidRDefault="004D01B9" w:rsidP="004D01B9">
      <w:pPr>
        <w:pStyle w:val="Bibliografa"/>
        <w:jc w:val="both"/>
        <w:rPr>
          <w:rFonts w:ascii="Calibri" w:hAnsi="Calibri" w:cs="Calibri"/>
        </w:rPr>
      </w:pPr>
      <w:r w:rsidRPr="004D01B9">
        <w:rPr>
          <w:rFonts w:ascii="Calibri" w:hAnsi="Calibri" w:cs="Calibri"/>
        </w:rPr>
        <w:t>26.</w:t>
      </w:r>
      <w:r w:rsidRPr="004D01B9">
        <w:rPr>
          <w:rFonts w:ascii="Calibri" w:hAnsi="Calibri" w:cs="Calibri"/>
        </w:rPr>
        <w:tab/>
      </w:r>
      <w:proofErr w:type="spellStart"/>
      <w:r w:rsidRPr="004D01B9">
        <w:rPr>
          <w:rFonts w:ascii="Calibri" w:hAnsi="Calibri" w:cs="Calibri"/>
        </w:rPr>
        <w:t>Gobbi</w:t>
      </w:r>
      <w:proofErr w:type="spellEnd"/>
      <w:r w:rsidRPr="004D01B9">
        <w:rPr>
          <w:rFonts w:ascii="Calibri" w:hAnsi="Calibri" w:cs="Calibri"/>
        </w:rPr>
        <w:t xml:space="preserve"> F, </w:t>
      </w:r>
      <w:proofErr w:type="spellStart"/>
      <w:r w:rsidRPr="004D01B9">
        <w:rPr>
          <w:rFonts w:ascii="Calibri" w:hAnsi="Calibri" w:cs="Calibri"/>
        </w:rPr>
        <w:t>Buonfrate</w:t>
      </w:r>
      <w:proofErr w:type="spellEnd"/>
      <w:r w:rsidRPr="004D01B9">
        <w:rPr>
          <w:rFonts w:ascii="Calibri" w:hAnsi="Calibri" w:cs="Calibri"/>
        </w:rPr>
        <w:t xml:space="preserve"> D, Moro L, Rodari P, </w:t>
      </w:r>
      <w:proofErr w:type="spellStart"/>
      <w:r w:rsidRPr="004D01B9">
        <w:rPr>
          <w:rFonts w:ascii="Calibri" w:hAnsi="Calibri" w:cs="Calibri"/>
        </w:rPr>
        <w:t>Piubelli</w:t>
      </w:r>
      <w:proofErr w:type="spellEnd"/>
      <w:r w:rsidRPr="004D01B9">
        <w:rPr>
          <w:rFonts w:ascii="Calibri" w:hAnsi="Calibri" w:cs="Calibri"/>
        </w:rPr>
        <w:t xml:space="preserve"> C, </w:t>
      </w:r>
      <w:proofErr w:type="spellStart"/>
      <w:r w:rsidRPr="004D01B9">
        <w:rPr>
          <w:rFonts w:ascii="Calibri" w:hAnsi="Calibri" w:cs="Calibri"/>
        </w:rPr>
        <w:t>Caldrer</w:t>
      </w:r>
      <w:proofErr w:type="spellEnd"/>
      <w:r w:rsidRPr="004D01B9">
        <w:rPr>
          <w:rFonts w:ascii="Calibri" w:hAnsi="Calibri" w:cs="Calibri"/>
        </w:rPr>
        <w:t xml:space="preserve"> S, et al. </w:t>
      </w:r>
      <w:proofErr w:type="spellStart"/>
      <w:r w:rsidRPr="004D01B9">
        <w:rPr>
          <w:rFonts w:ascii="Calibri" w:hAnsi="Calibri" w:cs="Calibri"/>
        </w:rPr>
        <w:t>Antibody</w:t>
      </w:r>
      <w:proofErr w:type="spellEnd"/>
      <w:r w:rsidRPr="004D01B9">
        <w:rPr>
          <w:rFonts w:ascii="Calibri" w:hAnsi="Calibri" w:cs="Calibri"/>
        </w:rPr>
        <w:t xml:space="preserve"> Response </w:t>
      </w:r>
      <w:proofErr w:type="spellStart"/>
      <w:r w:rsidRPr="004D01B9">
        <w:rPr>
          <w:rFonts w:ascii="Calibri" w:hAnsi="Calibri" w:cs="Calibri"/>
        </w:rPr>
        <w:t>to</w:t>
      </w:r>
      <w:proofErr w:type="spellEnd"/>
      <w:r w:rsidRPr="004D01B9">
        <w:rPr>
          <w:rFonts w:ascii="Calibri" w:hAnsi="Calibri" w:cs="Calibri"/>
        </w:rPr>
        <w:t xml:space="preserve"> </w:t>
      </w:r>
      <w:proofErr w:type="spellStart"/>
      <w:r w:rsidRPr="004D01B9">
        <w:rPr>
          <w:rFonts w:ascii="Calibri" w:hAnsi="Calibri" w:cs="Calibri"/>
        </w:rPr>
        <w:t>the</w:t>
      </w:r>
      <w:proofErr w:type="spellEnd"/>
      <w:r w:rsidRPr="004D01B9">
        <w:rPr>
          <w:rFonts w:ascii="Calibri" w:hAnsi="Calibri" w:cs="Calibri"/>
        </w:rPr>
        <w:t xml:space="preserve"> BNT162b2 mRNA COVID-19 </w:t>
      </w:r>
      <w:proofErr w:type="spellStart"/>
      <w:r w:rsidRPr="004D01B9">
        <w:rPr>
          <w:rFonts w:ascii="Calibri" w:hAnsi="Calibri" w:cs="Calibri"/>
        </w:rPr>
        <w:t>Vaccine</w:t>
      </w:r>
      <w:proofErr w:type="spellEnd"/>
      <w:r w:rsidRPr="004D01B9">
        <w:rPr>
          <w:rFonts w:ascii="Calibri" w:hAnsi="Calibri" w:cs="Calibri"/>
        </w:rPr>
        <w:t xml:space="preserve"> in </w:t>
      </w:r>
      <w:proofErr w:type="spellStart"/>
      <w:r w:rsidRPr="004D01B9">
        <w:rPr>
          <w:rFonts w:ascii="Calibri" w:hAnsi="Calibri" w:cs="Calibri"/>
        </w:rPr>
        <w:t>Subjects</w:t>
      </w:r>
      <w:proofErr w:type="spellEnd"/>
      <w:r w:rsidRPr="004D01B9">
        <w:rPr>
          <w:rFonts w:ascii="Calibri" w:hAnsi="Calibri" w:cs="Calibri"/>
        </w:rPr>
        <w:t xml:space="preserve"> </w:t>
      </w:r>
      <w:proofErr w:type="spellStart"/>
      <w:r w:rsidRPr="004D01B9">
        <w:rPr>
          <w:rFonts w:ascii="Calibri" w:hAnsi="Calibri" w:cs="Calibri"/>
        </w:rPr>
        <w:t>with</w:t>
      </w:r>
      <w:proofErr w:type="spellEnd"/>
      <w:r w:rsidRPr="004D01B9">
        <w:rPr>
          <w:rFonts w:ascii="Calibri" w:hAnsi="Calibri" w:cs="Calibri"/>
        </w:rPr>
        <w:t xml:space="preserve"> Prior SARS-CoV-2 </w:t>
      </w:r>
      <w:proofErr w:type="spellStart"/>
      <w:r w:rsidRPr="004D01B9">
        <w:rPr>
          <w:rFonts w:ascii="Calibri" w:hAnsi="Calibri" w:cs="Calibri"/>
        </w:rPr>
        <w:t>Infection</w:t>
      </w:r>
      <w:proofErr w:type="spellEnd"/>
      <w:r w:rsidRPr="004D01B9">
        <w:rPr>
          <w:rFonts w:ascii="Calibri" w:hAnsi="Calibri" w:cs="Calibri"/>
        </w:rPr>
        <w:t xml:space="preserve">. </w:t>
      </w:r>
      <w:proofErr w:type="spellStart"/>
      <w:r w:rsidRPr="004D01B9">
        <w:rPr>
          <w:rFonts w:ascii="Calibri" w:hAnsi="Calibri" w:cs="Calibri"/>
        </w:rPr>
        <w:t>Viruses</w:t>
      </w:r>
      <w:proofErr w:type="spellEnd"/>
      <w:r w:rsidRPr="004D01B9">
        <w:rPr>
          <w:rFonts w:ascii="Calibri" w:hAnsi="Calibri" w:cs="Calibri"/>
        </w:rPr>
        <w:t xml:space="preserve">. 5 de marzo de 2021;13(3):422. </w:t>
      </w:r>
    </w:p>
    <w:p w14:paraId="4C34597C" w14:textId="77777777" w:rsidR="004D01B9" w:rsidRPr="004D01B9" w:rsidRDefault="004D01B9" w:rsidP="004D01B9">
      <w:pPr>
        <w:pStyle w:val="Bibliografa"/>
        <w:jc w:val="both"/>
        <w:rPr>
          <w:rFonts w:ascii="Calibri" w:hAnsi="Calibri" w:cs="Calibri"/>
        </w:rPr>
      </w:pPr>
      <w:r w:rsidRPr="004D01B9">
        <w:rPr>
          <w:rFonts w:ascii="Calibri" w:hAnsi="Calibri" w:cs="Calibri"/>
        </w:rPr>
        <w:t>27.</w:t>
      </w:r>
      <w:r w:rsidRPr="004D01B9">
        <w:rPr>
          <w:rFonts w:ascii="Calibri" w:hAnsi="Calibri" w:cs="Calibri"/>
        </w:rPr>
        <w:tab/>
        <w:t xml:space="preserve">Danese E, </w:t>
      </w:r>
      <w:proofErr w:type="spellStart"/>
      <w:r w:rsidRPr="004D01B9">
        <w:rPr>
          <w:rFonts w:ascii="Calibri" w:hAnsi="Calibri" w:cs="Calibri"/>
        </w:rPr>
        <w:t>Montagnana</w:t>
      </w:r>
      <w:proofErr w:type="spellEnd"/>
      <w:r w:rsidRPr="004D01B9">
        <w:rPr>
          <w:rFonts w:ascii="Calibri" w:hAnsi="Calibri" w:cs="Calibri"/>
        </w:rPr>
        <w:t xml:space="preserve"> M, </w:t>
      </w:r>
      <w:proofErr w:type="spellStart"/>
      <w:r w:rsidRPr="004D01B9">
        <w:rPr>
          <w:rFonts w:ascii="Calibri" w:hAnsi="Calibri" w:cs="Calibri"/>
        </w:rPr>
        <w:t>Salvagno</w:t>
      </w:r>
      <w:proofErr w:type="spellEnd"/>
      <w:r w:rsidRPr="004D01B9">
        <w:rPr>
          <w:rFonts w:ascii="Calibri" w:hAnsi="Calibri" w:cs="Calibri"/>
        </w:rPr>
        <w:t xml:space="preserve"> GL, </w:t>
      </w:r>
      <w:proofErr w:type="spellStart"/>
      <w:r w:rsidRPr="004D01B9">
        <w:rPr>
          <w:rFonts w:ascii="Calibri" w:hAnsi="Calibri" w:cs="Calibri"/>
        </w:rPr>
        <w:t>Peserico</w:t>
      </w:r>
      <w:proofErr w:type="spellEnd"/>
      <w:r w:rsidRPr="004D01B9">
        <w:rPr>
          <w:rFonts w:ascii="Calibri" w:hAnsi="Calibri" w:cs="Calibri"/>
        </w:rPr>
        <w:t xml:space="preserve"> D, </w:t>
      </w:r>
      <w:proofErr w:type="spellStart"/>
      <w:r w:rsidRPr="004D01B9">
        <w:rPr>
          <w:rFonts w:ascii="Calibri" w:hAnsi="Calibri" w:cs="Calibri"/>
        </w:rPr>
        <w:t>Pighi</w:t>
      </w:r>
      <w:proofErr w:type="spellEnd"/>
      <w:r w:rsidRPr="004D01B9">
        <w:rPr>
          <w:rFonts w:ascii="Calibri" w:hAnsi="Calibri" w:cs="Calibri"/>
        </w:rPr>
        <w:t xml:space="preserve"> L, De </w:t>
      </w:r>
      <w:proofErr w:type="spellStart"/>
      <w:r w:rsidRPr="004D01B9">
        <w:rPr>
          <w:rFonts w:ascii="Calibri" w:hAnsi="Calibri" w:cs="Calibri"/>
        </w:rPr>
        <w:t>Nitto</w:t>
      </w:r>
      <w:proofErr w:type="spellEnd"/>
      <w:r w:rsidRPr="004D01B9">
        <w:rPr>
          <w:rFonts w:ascii="Calibri" w:hAnsi="Calibri" w:cs="Calibri"/>
        </w:rPr>
        <w:t xml:space="preserve"> S, et al. Comprehensive </w:t>
      </w:r>
      <w:proofErr w:type="spellStart"/>
      <w:r w:rsidRPr="004D01B9">
        <w:rPr>
          <w:rFonts w:ascii="Calibri" w:hAnsi="Calibri" w:cs="Calibri"/>
        </w:rPr>
        <w:t>assessment</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humoral response after Pfizer BNT162b2 mRNA Covid-19 </w:t>
      </w:r>
      <w:proofErr w:type="spellStart"/>
      <w:r w:rsidRPr="004D01B9">
        <w:rPr>
          <w:rFonts w:ascii="Calibri" w:hAnsi="Calibri" w:cs="Calibri"/>
        </w:rPr>
        <w:t>vaccination</w:t>
      </w:r>
      <w:proofErr w:type="spellEnd"/>
      <w:r w:rsidRPr="004D01B9">
        <w:rPr>
          <w:rFonts w:ascii="Calibri" w:hAnsi="Calibri" w:cs="Calibri"/>
        </w:rPr>
        <w:t xml:space="preserve">: a </w:t>
      </w:r>
      <w:proofErr w:type="spellStart"/>
      <w:r w:rsidRPr="004D01B9">
        <w:rPr>
          <w:rFonts w:ascii="Calibri" w:hAnsi="Calibri" w:cs="Calibri"/>
        </w:rPr>
        <w:t>three</w:t>
      </w:r>
      <w:proofErr w:type="spellEnd"/>
      <w:r w:rsidRPr="004D01B9">
        <w:rPr>
          <w:rFonts w:ascii="Calibri" w:hAnsi="Calibri" w:cs="Calibri"/>
        </w:rPr>
        <w:t xml:space="preserve">-case series. Clin </w:t>
      </w:r>
      <w:proofErr w:type="spellStart"/>
      <w:r w:rsidRPr="004D01B9">
        <w:rPr>
          <w:rFonts w:ascii="Calibri" w:hAnsi="Calibri" w:cs="Calibri"/>
        </w:rPr>
        <w:t>Chem</w:t>
      </w:r>
      <w:proofErr w:type="spellEnd"/>
      <w:r w:rsidRPr="004D01B9">
        <w:rPr>
          <w:rFonts w:ascii="Calibri" w:hAnsi="Calibri" w:cs="Calibri"/>
        </w:rPr>
        <w:t xml:space="preserve"> </w:t>
      </w:r>
      <w:proofErr w:type="spellStart"/>
      <w:r w:rsidRPr="004D01B9">
        <w:rPr>
          <w:rFonts w:ascii="Calibri" w:hAnsi="Calibri" w:cs="Calibri"/>
        </w:rPr>
        <w:t>Lab</w:t>
      </w:r>
      <w:proofErr w:type="spellEnd"/>
      <w:r w:rsidRPr="004D01B9">
        <w:rPr>
          <w:rFonts w:ascii="Calibri" w:hAnsi="Calibri" w:cs="Calibri"/>
        </w:rPr>
        <w:t xml:space="preserve"> </w:t>
      </w:r>
      <w:proofErr w:type="spellStart"/>
      <w:r w:rsidRPr="004D01B9">
        <w:rPr>
          <w:rFonts w:ascii="Calibri" w:hAnsi="Calibri" w:cs="Calibri"/>
        </w:rPr>
        <w:t>Med</w:t>
      </w:r>
      <w:proofErr w:type="spellEnd"/>
      <w:r w:rsidRPr="004D01B9">
        <w:rPr>
          <w:rFonts w:ascii="Calibri" w:hAnsi="Calibri" w:cs="Calibri"/>
        </w:rPr>
        <w:t xml:space="preserve">. 26 de agosto de 2021;59(9):1585-91. </w:t>
      </w:r>
    </w:p>
    <w:p w14:paraId="0F59D20D" w14:textId="77777777" w:rsidR="004D01B9" w:rsidRPr="004D01B9" w:rsidRDefault="004D01B9" w:rsidP="004D01B9">
      <w:pPr>
        <w:pStyle w:val="Bibliografa"/>
        <w:jc w:val="both"/>
        <w:rPr>
          <w:rFonts w:ascii="Calibri" w:hAnsi="Calibri" w:cs="Calibri"/>
        </w:rPr>
      </w:pPr>
      <w:r w:rsidRPr="004D01B9">
        <w:rPr>
          <w:rFonts w:ascii="Calibri" w:hAnsi="Calibri" w:cs="Calibri"/>
        </w:rPr>
        <w:t>28.</w:t>
      </w:r>
      <w:r w:rsidRPr="004D01B9">
        <w:rPr>
          <w:rFonts w:ascii="Calibri" w:hAnsi="Calibri" w:cs="Calibri"/>
        </w:rPr>
        <w:tab/>
      </w:r>
      <w:proofErr w:type="spellStart"/>
      <w:r w:rsidRPr="004D01B9">
        <w:rPr>
          <w:rFonts w:ascii="Calibri" w:hAnsi="Calibri" w:cs="Calibri"/>
        </w:rPr>
        <w:t>Cucunawangsih</w:t>
      </w:r>
      <w:proofErr w:type="spellEnd"/>
      <w:r w:rsidRPr="004D01B9">
        <w:rPr>
          <w:rFonts w:ascii="Calibri" w:hAnsi="Calibri" w:cs="Calibri"/>
        </w:rPr>
        <w:t xml:space="preserve"> C, </w:t>
      </w:r>
      <w:proofErr w:type="spellStart"/>
      <w:r w:rsidRPr="004D01B9">
        <w:rPr>
          <w:rFonts w:ascii="Calibri" w:hAnsi="Calibri" w:cs="Calibri"/>
        </w:rPr>
        <w:t>Wijaya</w:t>
      </w:r>
      <w:proofErr w:type="spellEnd"/>
      <w:r w:rsidRPr="004D01B9">
        <w:rPr>
          <w:rFonts w:ascii="Calibri" w:hAnsi="Calibri" w:cs="Calibri"/>
        </w:rPr>
        <w:t xml:space="preserve"> RS, </w:t>
      </w:r>
      <w:proofErr w:type="spellStart"/>
      <w:r w:rsidRPr="004D01B9">
        <w:rPr>
          <w:rFonts w:ascii="Calibri" w:hAnsi="Calibri" w:cs="Calibri"/>
        </w:rPr>
        <w:t>Lugito</w:t>
      </w:r>
      <w:proofErr w:type="spellEnd"/>
      <w:r w:rsidRPr="004D01B9">
        <w:rPr>
          <w:rFonts w:ascii="Calibri" w:hAnsi="Calibri" w:cs="Calibri"/>
        </w:rPr>
        <w:t xml:space="preserve"> NPH, </w:t>
      </w:r>
      <w:proofErr w:type="spellStart"/>
      <w:r w:rsidRPr="004D01B9">
        <w:rPr>
          <w:rFonts w:ascii="Calibri" w:hAnsi="Calibri" w:cs="Calibri"/>
        </w:rPr>
        <w:t>Suriapranata</w:t>
      </w:r>
      <w:proofErr w:type="spellEnd"/>
      <w:r w:rsidRPr="004D01B9">
        <w:rPr>
          <w:rFonts w:ascii="Calibri" w:hAnsi="Calibri" w:cs="Calibri"/>
        </w:rPr>
        <w:t xml:space="preserve"> I. </w:t>
      </w:r>
      <w:proofErr w:type="spellStart"/>
      <w:r w:rsidRPr="004D01B9">
        <w:rPr>
          <w:rFonts w:ascii="Calibri" w:hAnsi="Calibri" w:cs="Calibri"/>
        </w:rPr>
        <w:t>Antibody</w:t>
      </w:r>
      <w:proofErr w:type="spellEnd"/>
      <w:r w:rsidRPr="004D01B9">
        <w:rPr>
          <w:rFonts w:ascii="Calibri" w:hAnsi="Calibri" w:cs="Calibri"/>
        </w:rPr>
        <w:t xml:space="preserve"> response after a </w:t>
      </w:r>
      <w:proofErr w:type="spellStart"/>
      <w:r w:rsidRPr="004D01B9">
        <w:rPr>
          <w:rFonts w:ascii="Calibri" w:hAnsi="Calibri" w:cs="Calibri"/>
        </w:rPr>
        <w:t>third</w:t>
      </w:r>
      <w:proofErr w:type="spellEnd"/>
      <w:r w:rsidRPr="004D01B9">
        <w:rPr>
          <w:rFonts w:ascii="Calibri" w:hAnsi="Calibri" w:cs="Calibri"/>
        </w:rPr>
        <w:t xml:space="preserve"> </w:t>
      </w:r>
      <w:proofErr w:type="spellStart"/>
      <w:r w:rsidRPr="004D01B9">
        <w:rPr>
          <w:rFonts w:ascii="Calibri" w:hAnsi="Calibri" w:cs="Calibri"/>
        </w:rPr>
        <w:t>dose</w:t>
      </w:r>
      <w:proofErr w:type="spellEnd"/>
      <w:r w:rsidRPr="004D01B9">
        <w:rPr>
          <w:rFonts w:ascii="Calibri" w:hAnsi="Calibri" w:cs="Calibri"/>
        </w:rPr>
        <w:t xml:space="preserve"> mRNA-1273 </w:t>
      </w:r>
      <w:proofErr w:type="spellStart"/>
      <w:r w:rsidRPr="004D01B9">
        <w:rPr>
          <w:rFonts w:ascii="Calibri" w:hAnsi="Calibri" w:cs="Calibri"/>
        </w:rPr>
        <w:t>vaccine</w:t>
      </w:r>
      <w:proofErr w:type="spellEnd"/>
      <w:r w:rsidRPr="004D01B9">
        <w:rPr>
          <w:rFonts w:ascii="Calibri" w:hAnsi="Calibri" w:cs="Calibri"/>
        </w:rPr>
        <w:t xml:space="preserve"> </w:t>
      </w:r>
      <w:proofErr w:type="spellStart"/>
      <w:r w:rsidRPr="004D01B9">
        <w:rPr>
          <w:rFonts w:ascii="Calibri" w:hAnsi="Calibri" w:cs="Calibri"/>
        </w:rPr>
        <w:t>among</w:t>
      </w:r>
      <w:proofErr w:type="spellEnd"/>
      <w:r w:rsidRPr="004D01B9">
        <w:rPr>
          <w:rFonts w:ascii="Calibri" w:hAnsi="Calibri" w:cs="Calibri"/>
        </w:rPr>
        <w:t xml:space="preserve"> </w:t>
      </w:r>
      <w:proofErr w:type="spellStart"/>
      <w:r w:rsidRPr="004D01B9">
        <w:rPr>
          <w:rFonts w:ascii="Calibri" w:hAnsi="Calibri" w:cs="Calibri"/>
        </w:rPr>
        <w:t>vaccinated</w:t>
      </w:r>
      <w:proofErr w:type="spellEnd"/>
      <w:r w:rsidRPr="004D01B9">
        <w:rPr>
          <w:rFonts w:ascii="Calibri" w:hAnsi="Calibri" w:cs="Calibri"/>
        </w:rPr>
        <w:t xml:space="preserve"> </w:t>
      </w:r>
      <w:proofErr w:type="spellStart"/>
      <w:r w:rsidRPr="004D01B9">
        <w:rPr>
          <w:rFonts w:ascii="Calibri" w:hAnsi="Calibri" w:cs="Calibri"/>
        </w:rPr>
        <w:t>healthcare</w:t>
      </w:r>
      <w:proofErr w:type="spellEnd"/>
      <w:r w:rsidRPr="004D01B9">
        <w:rPr>
          <w:rFonts w:ascii="Calibri" w:hAnsi="Calibri" w:cs="Calibri"/>
        </w:rPr>
        <w:t xml:space="preserve"> </w:t>
      </w:r>
      <w:proofErr w:type="spellStart"/>
      <w:r w:rsidRPr="004D01B9">
        <w:rPr>
          <w:rFonts w:ascii="Calibri" w:hAnsi="Calibri" w:cs="Calibri"/>
        </w:rPr>
        <w:t>workers</w:t>
      </w:r>
      <w:proofErr w:type="spellEnd"/>
      <w:r w:rsidRPr="004D01B9">
        <w:rPr>
          <w:rFonts w:ascii="Calibri" w:hAnsi="Calibri" w:cs="Calibri"/>
        </w:rPr>
        <w:t xml:space="preserve"> </w:t>
      </w:r>
      <w:proofErr w:type="spellStart"/>
      <w:r w:rsidRPr="004D01B9">
        <w:rPr>
          <w:rFonts w:ascii="Calibri" w:hAnsi="Calibri" w:cs="Calibri"/>
        </w:rPr>
        <w:t>with</w:t>
      </w:r>
      <w:proofErr w:type="spellEnd"/>
      <w:r w:rsidRPr="004D01B9">
        <w:rPr>
          <w:rFonts w:ascii="Calibri" w:hAnsi="Calibri" w:cs="Calibri"/>
        </w:rPr>
        <w:t xml:space="preserve"> </w:t>
      </w:r>
      <w:proofErr w:type="spellStart"/>
      <w:r w:rsidRPr="004D01B9">
        <w:rPr>
          <w:rFonts w:ascii="Calibri" w:hAnsi="Calibri" w:cs="Calibri"/>
        </w:rPr>
        <w:t>two</w:t>
      </w:r>
      <w:proofErr w:type="spellEnd"/>
      <w:r w:rsidRPr="004D01B9">
        <w:rPr>
          <w:rFonts w:ascii="Calibri" w:hAnsi="Calibri" w:cs="Calibri"/>
        </w:rPr>
        <w:t xml:space="preserve"> doses </w:t>
      </w:r>
      <w:proofErr w:type="spellStart"/>
      <w:r w:rsidRPr="004D01B9">
        <w:rPr>
          <w:rFonts w:ascii="Calibri" w:hAnsi="Calibri" w:cs="Calibri"/>
        </w:rPr>
        <w:t>of</w:t>
      </w:r>
      <w:proofErr w:type="spellEnd"/>
      <w:r w:rsidRPr="004D01B9">
        <w:rPr>
          <w:rFonts w:ascii="Calibri" w:hAnsi="Calibri" w:cs="Calibri"/>
        </w:rPr>
        <w:t xml:space="preserve"> </w:t>
      </w:r>
      <w:proofErr w:type="spellStart"/>
      <w:r w:rsidRPr="004D01B9">
        <w:rPr>
          <w:rFonts w:ascii="Calibri" w:hAnsi="Calibri" w:cs="Calibri"/>
        </w:rPr>
        <w:t>inactivated</w:t>
      </w:r>
      <w:proofErr w:type="spellEnd"/>
      <w:r w:rsidRPr="004D01B9">
        <w:rPr>
          <w:rFonts w:ascii="Calibri" w:hAnsi="Calibri" w:cs="Calibri"/>
        </w:rPr>
        <w:t xml:space="preserve"> SARS-CoV-2 </w:t>
      </w:r>
      <w:proofErr w:type="spellStart"/>
      <w:r w:rsidRPr="004D01B9">
        <w:rPr>
          <w:rFonts w:ascii="Calibri" w:hAnsi="Calibri" w:cs="Calibri"/>
        </w:rPr>
        <w:t>vaccine</w:t>
      </w:r>
      <w:proofErr w:type="spellEnd"/>
      <w:r w:rsidRPr="004D01B9">
        <w:rPr>
          <w:rFonts w:ascii="Calibri" w:hAnsi="Calibri" w:cs="Calibri"/>
        </w:rPr>
        <w:t xml:space="preserve">. </w:t>
      </w:r>
      <w:proofErr w:type="spellStart"/>
      <w:r w:rsidRPr="004D01B9">
        <w:rPr>
          <w:rFonts w:ascii="Calibri" w:hAnsi="Calibri" w:cs="Calibri"/>
        </w:rPr>
        <w:t>Int</w:t>
      </w:r>
      <w:proofErr w:type="spellEnd"/>
      <w:r w:rsidRPr="004D01B9">
        <w:rPr>
          <w:rFonts w:ascii="Calibri" w:hAnsi="Calibri" w:cs="Calibri"/>
        </w:rPr>
        <w:t xml:space="preserve"> J </w:t>
      </w:r>
      <w:proofErr w:type="spellStart"/>
      <w:r w:rsidRPr="004D01B9">
        <w:rPr>
          <w:rFonts w:ascii="Calibri" w:hAnsi="Calibri" w:cs="Calibri"/>
        </w:rPr>
        <w:t>Infect</w:t>
      </w:r>
      <w:proofErr w:type="spellEnd"/>
      <w:r w:rsidRPr="004D01B9">
        <w:rPr>
          <w:rFonts w:ascii="Calibri" w:hAnsi="Calibri" w:cs="Calibri"/>
        </w:rPr>
        <w:t xml:space="preserve"> </w:t>
      </w:r>
      <w:proofErr w:type="spellStart"/>
      <w:r w:rsidRPr="004D01B9">
        <w:rPr>
          <w:rFonts w:ascii="Calibri" w:hAnsi="Calibri" w:cs="Calibri"/>
        </w:rPr>
        <w:t>Dis</w:t>
      </w:r>
      <w:proofErr w:type="spellEnd"/>
      <w:r w:rsidRPr="004D01B9">
        <w:rPr>
          <w:rFonts w:ascii="Calibri" w:hAnsi="Calibri" w:cs="Calibri"/>
        </w:rPr>
        <w:t xml:space="preserve"> IJID Off </w:t>
      </w:r>
      <w:proofErr w:type="spellStart"/>
      <w:r w:rsidRPr="004D01B9">
        <w:rPr>
          <w:rFonts w:ascii="Calibri" w:hAnsi="Calibri" w:cs="Calibri"/>
        </w:rPr>
        <w:t>Publ</w:t>
      </w:r>
      <w:proofErr w:type="spellEnd"/>
      <w:r w:rsidRPr="004D01B9">
        <w:rPr>
          <w:rFonts w:ascii="Calibri" w:hAnsi="Calibri" w:cs="Calibri"/>
        </w:rPr>
        <w:t xml:space="preserve"> </w:t>
      </w:r>
      <w:proofErr w:type="spellStart"/>
      <w:r w:rsidRPr="004D01B9">
        <w:rPr>
          <w:rFonts w:ascii="Calibri" w:hAnsi="Calibri" w:cs="Calibri"/>
        </w:rPr>
        <w:t>Int</w:t>
      </w:r>
      <w:proofErr w:type="spellEnd"/>
      <w:r w:rsidRPr="004D01B9">
        <w:rPr>
          <w:rFonts w:ascii="Calibri" w:hAnsi="Calibri" w:cs="Calibri"/>
        </w:rPr>
        <w:t xml:space="preserve"> </w:t>
      </w:r>
      <w:proofErr w:type="spellStart"/>
      <w:r w:rsidRPr="004D01B9">
        <w:rPr>
          <w:rFonts w:ascii="Calibri" w:hAnsi="Calibri" w:cs="Calibri"/>
        </w:rPr>
        <w:t>Soc</w:t>
      </w:r>
      <w:proofErr w:type="spellEnd"/>
      <w:r w:rsidRPr="004D01B9">
        <w:rPr>
          <w:rFonts w:ascii="Calibri" w:hAnsi="Calibri" w:cs="Calibri"/>
        </w:rPr>
        <w:t xml:space="preserve"> </w:t>
      </w:r>
      <w:proofErr w:type="spellStart"/>
      <w:r w:rsidRPr="004D01B9">
        <w:rPr>
          <w:rFonts w:ascii="Calibri" w:hAnsi="Calibri" w:cs="Calibri"/>
        </w:rPr>
        <w:t>Infect</w:t>
      </w:r>
      <w:proofErr w:type="spellEnd"/>
      <w:r w:rsidRPr="004D01B9">
        <w:rPr>
          <w:rFonts w:ascii="Calibri" w:hAnsi="Calibri" w:cs="Calibri"/>
        </w:rPr>
        <w:t xml:space="preserve"> </w:t>
      </w:r>
      <w:proofErr w:type="spellStart"/>
      <w:r w:rsidRPr="004D01B9">
        <w:rPr>
          <w:rFonts w:ascii="Calibri" w:hAnsi="Calibri" w:cs="Calibri"/>
        </w:rPr>
        <w:t>Dis</w:t>
      </w:r>
      <w:proofErr w:type="spellEnd"/>
      <w:r w:rsidRPr="004D01B9">
        <w:rPr>
          <w:rFonts w:ascii="Calibri" w:hAnsi="Calibri" w:cs="Calibri"/>
        </w:rPr>
        <w:t xml:space="preserve">. mayo de </w:t>
      </w:r>
      <w:proofErr w:type="gramStart"/>
      <w:r w:rsidRPr="004D01B9">
        <w:rPr>
          <w:rFonts w:ascii="Calibri" w:hAnsi="Calibri" w:cs="Calibri"/>
        </w:rPr>
        <w:t>2022;118:116</w:t>
      </w:r>
      <w:proofErr w:type="gramEnd"/>
      <w:r w:rsidRPr="004D01B9">
        <w:rPr>
          <w:rFonts w:ascii="Calibri" w:hAnsi="Calibri" w:cs="Calibri"/>
        </w:rPr>
        <w:t xml:space="preserve">-8. </w:t>
      </w:r>
    </w:p>
    <w:p w14:paraId="03DBF4B3" w14:textId="77777777" w:rsidR="004D01B9" w:rsidRPr="004D01B9" w:rsidRDefault="004D01B9" w:rsidP="004D01B9">
      <w:pPr>
        <w:pStyle w:val="Bibliografa"/>
        <w:jc w:val="both"/>
        <w:rPr>
          <w:rFonts w:ascii="Calibri" w:hAnsi="Calibri" w:cs="Calibri"/>
        </w:rPr>
      </w:pPr>
      <w:r w:rsidRPr="004D01B9">
        <w:rPr>
          <w:rFonts w:ascii="Calibri" w:hAnsi="Calibri" w:cs="Calibri"/>
        </w:rPr>
        <w:t>29.</w:t>
      </w:r>
      <w:r w:rsidRPr="004D01B9">
        <w:rPr>
          <w:rFonts w:ascii="Calibri" w:hAnsi="Calibri" w:cs="Calibri"/>
        </w:rPr>
        <w:tab/>
        <w:t xml:space="preserve">Medrano S, Martínez-Rodríguez M, Vallejo L, Culebras E, Delgado-Iribarren A. </w:t>
      </w:r>
      <w:proofErr w:type="spellStart"/>
      <w:r w:rsidRPr="004D01B9">
        <w:rPr>
          <w:rFonts w:ascii="Calibri" w:hAnsi="Calibri" w:cs="Calibri"/>
        </w:rPr>
        <w:t>Evaluation</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w:t>
      </w:r>
      <w:proofErr w:type="spellStart"/>
      <w:r w:rsidRPr="004D01B9">
        <w:rPr>
          <w:rFonts w:ascii="Calibri" w:hAnsi="Calibri" w:cs="Calibri"/>
        </w:rPr>
        <w:t>two</w:t>
      </w:r>
      <w:proofErr w:type="spellEnd"/>
      <w:r w:rsidRPr="004D01B9">
        <w:rPr>
          <w:rFonts w:ascii="Calibri" w:hAnsi="Calibri" w:cs="Calibri"/>
        </w:rPr>
        <w:t xml:space="preserve"> </w:t>
      </w:r>
      <w:proofErr w:type="spellStart"/>
      <w:r w:rsidRPr="004D01B9">
        <w:rPr>
          <w:rFonts w:ascii="Calibri" w:hAnsi="Calibri" w:cs="Calibri"/>
        </w:rPr>
        <w:t>immunocromatographic</w:t>
      </w:r>
      <w:proofErr w:type="spellEnd"/>
      <w:r w:rsidRPr="004D01B9">
        <w:rPr>
          <w:rFonts w:ascii="Calibri" w:hAnsi="Calibri" w:cs="Calibri"/>
        </w:rPr>
        <w:t xml:space="preserve"> </w:t>
      </w:r>
      <w:proofErr w:type="spellStart"/>
      <w:r w:rsidRPr="004D01B9">
        <w:rPr>
          <w:rFonts w:ascii="Calibri" w:hAnsi="Calibri" w:cs="Calibri"/>
        </w:rPr>
        <w:t>tests</w:t>
      </w:r>
      <w:proofErr w:type="spellEnd"/>
      <w:r w:rsidRPr="004D01B9">
        <w:rPr>
          <w:rFonts w:ascii="Calibri" w:hAnsi="Calibri" w:cs="Calibri"/>
        </w:rPr>
        <w:t xml:space="preserve"> </w:t>
      </w:r>
      <w:proofErr w:type="spellStart"/>
      <w:r w:rsidRPr="004D01B9">
        <w:rPr>
          <w:rFonts w:ascii="Calibri" w:hAnsi="Calibri" w:cs="Calibri"/>
        </w:rPr>
        <w:t>for</w:t>
      </w:r>
      <w:proofErr w:type="spellEnd"/>
      <w:r w:rsidRPr="004D01B9">
        <w:rPr>
          <w:rFonts w:ascii="Calibri" w:hAnsi="Calibri" w:cs="Calibri"/>
        </w:rPr>
        <w:t xml:space="preserve"> </w:t>
      </w:r>
      <w:proofErr w:type="spellStart"/>
      <w:r w:rsidRPr="004D01B9">
        <w:rPr>
          <w:rFonts w:ascii="Calibri" w:hAnsi="Calibri" w:cs="Calibri"/>
        </w:rPr>
        <w:t>the</w:t>
      </w:r>
      <w:proofErr w:type="spellEnd"/>
      <w:r w:rsidRPr="004D01B9">
        <w:rPr>
          <w:rFonts w:ascii="Calibri" w:hAnsi="Calibri" w:cs="Calibri"/>
        </w:rPr>
        <w:t xml:space="preserve"> </w:t>
      </w:r>
      <w:proofErr w:type="spellStart"/>
      <w:r w:rsidRPr="004D01B9">
        <w:rPr>
          <w:rFonts w:ascii="Calibri" w:hAnsi="Calibri" w:cs="Calibri"/>
        </w:rPr>
        <w:t>detection</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w:t>
      </w:r>
      <w:proofErr w:type="spellStart"/>
      <w:r w:rsidRPr="004D01B9">
        <w:rPr>
          <w:rFonts w:ascii="Calibri" w:hAnsi="Calibri" w:cs="Calibri"/>
        </w:rPr>
        <w:t>antibodies</w:t>
      </w:r>
      <w:proofErr w:type="spellEnd"/>
      <w:r w:rsidRPr="004D01B9">
        <w:rPr>
          <w:rFonts w:ascii="Calibri" w:hAnsi="Calibri" w:cs="Calibri"/>
        </w:rPr>
        <w:t xml:space="preserve"> </w:t>
      </w:r>
      <w:proofErr w:type="spellStart"/>
      <w:r w:rsidRPr="004D01B9">
        <w:rPr>
          <w:rFonts w:ascii="Calibri" w:hAnsi="Calibri" w:cs="Calibri"/>
        </w:rPr>
        <w:t>against</w:t>
      </w:r>
      <w:proofErr w:type="spellEnd"/>
      <w:r w:rsidRPr="004D01B9">
        <w:rPr>
          <w:rFonts w:ascii="Calibri" w:hAnsi="Calibri" w:cs="Calibri"/>
        </w:rPr>
        <w:t xml:space="preserve"> SARS-CoV-2. </w:t>
      </w:r>
      <w:proofErr w:type="spellStart"/>
      <w:r w:rsidRPr="004D01B9">
        <w:rPr>
          <w:rFonts w:ascii="Calibri" w:hAnsi="Calibri" w:cs="Calibri"/>
        </w:rPr>
        <w:t>Rev</w:t>
      </w:r>
      <w:proofErr w:type="spellEnd"/>
      <w:r w:rsidRPr="004D01B9">
        <w:rPr>
          <w:rFonts w:ascii="Calibri" w:hAnsi="Calibri" w:cs="Calibri"/>
        </w:rPr>
        <w:t xml:space="preserve"> </w:t>
      </w:r>
      <w:proofErr w:type="spellStart"/>
      <w:r w:rsidRPr="004D01B9">
        <w:rPr>
          <w:rFonts w:ascii="Calibri" w:hAnsi="Calibri" w:cs="Calibri"/>
        </w:rPr>
        <w:t>Espanola</w:t>
      </w:r>
      <w:proofErr w:type="spellEnd"/>
      <w:r w:rsidRPr="004D01B9">
        <w:rPr>
          <w:rFonts w:ascii="Calibri" w:hAnsi="Calibri" w:cs="Calibri"/>
        </w:rPr>
        <w:t xml:space="preserve"> </w:t>
      </w:r>
      <w:proofErr w:type="spellStart"/>
      <w:r w:rsidRPr="004D01B9">
        <w:rPr>
          <w:rFonts w:ascii="Calibri" w:hAnsi="Calibri" w:cs="Calibri"/>
        </w:rPr>
        <w:t>Quimioter</w:t>
      </w:r>
      <w:proofErr w:type="spellEnd"/>
      <w:r w:rsidRPr="004D01B9">
        <w:rPr>
          <w:rFonts w:ascii="Calibri" w:hAnsi="Calibri" w:cs="Calibri"/>
        </w:rPr>
        <w:t xml:space="preserve"> </w:t>
      </w:r>
      <w:proofErr w:type="spellStart"/>
      <w:r w:rsidRPr="004D01B9">
        <w:rPr>
          <w:rFonts w:ascii="Calibri" w:hAnsi="Calibri" w:cs="Calibri"/>
        </w:rPr>
        <w:t>Publicacion</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w:t>
      </w:r>
      <w:proofErr w:type="spellStart"/>
      <w:r w:rsidRPr="004D01B9">
        <w:rPr>
          <w:rFonts w:ascii="Calibri" w:hAnsi="Calibri" w:cs="Calibri"/>
        </w:rPr>
        <w:t>Soc</w:t>
      </w:r>
      <w:proofErr w:type="spellEnd"/>
      <w:r w:rsidRPr="004D01B9">
        <w:rPr>
          <w:rFonts w:ascii="Calibri" w:hAnsi="Calibri" w:cs="Calibri"/>
        </w:rPr>
        <w:t xml:space="preserve"> </w:t>
      </w:r>
      <w:proofErr w:type="spellStart"/>
      <w:r w:rsidRPr="004D01B9">
        <w:rPr>
          <w:rFonts w:ascii="Calibri" w:hAnsi="Calibri" w:cs="Calibri"/>
        </w:rPr>
        <w:t>Espanola</w:t>
      </w:r>
      <w:proofErr w:type="spellEnd"/>
      <w:r w:rsidRPr="004D01B9">
        <w:rPr>
          <w:rFonts w:ascii="Calibri" w:hAnsi="Calibri" w:cs="Calibri"/>
        </w:rPr>
        <w:t xml:space="preserve"> </w:t>
      </w:r>
      <w:proofErr w:type="spellStart"/>
      <w:r w:rsidRPr="004D01B9">
        <w:rPr>
          <w:rFonts w:ascii="Calibri" w:hAnsi="Calibri" w:cs="Calibri"/>
        </w:rPr>
        <w:t>Quimioter</w:t>
      </w:r>
      <w:proofErr w:type="spellEnd"/>
      <w:r w:rsidRPr="004D01B9">
        <w:rPr>
          <w:rFonts w:ascii="Calibri" w:hAnsi="Calibri" w:cs="Calibri"/>
        </w:rPr>
        <w:t xml:space="preserve">. diciembre de 2022;35(6):538-43. </w:t>
      </w:r>
    </w:p>
    <w:p w14:paraId="28471E71" w14:textId="77777777" w:rsidR="004D01B9" w:rsidRPr="004D01B9" w:rsidRDefault="004D01B9" w:rsidP="004D01B9">
      <w:pPr>
        <w:pStyle w:val="Bibliografa"/>
        <w:jc w:val="both"/>
        <w:rPr>
          <w:rFonts w:ascii="Calibri" w:hAnsi="Calibri" w:cs="Calibri"/>
        </w:rPr>
      </w:pPr>
      <w:r w:rsidRPr="004D01B9">
        <w:rPr>
          <w:rFonts w:ascii="Calibri" w:hAnsi="Calibri" w:cs="Calibri"/>
        </w:rPr>
        <w:t>30.</w:t>
      </w:r>
      <w:r w:rsidRPr="004D01B9">
        <w:rPr>
          <w:rFonts w:ascii="Calibri" w:hAnsi="Calibri" w:cs="Calibri"/>
        </w:rPr>
        <w:tab/>
        <w:t>Carrera Fernández DE. Análisis de la efectividad de los anticuerpos Anti-</w:t>
      </w:r>
      <w:proofErr w:type="spellStart"/>
      <w:r w:rsidRPr="004D01B9">
        <w:rPr>
          <w:rFonts w:ascii="Calibri" w:hAnsi="Calibri" w:cs="Calibri"/>
        </w:rPr>
        <w:t>Spike</w:t>
      </w:r>
      <w:proofErr w:type="spellEnd"/>
      <w:r w:rsidRPr="004D01B9">
        <w:rPr>
          <w:rFonts w:ascii="Calibri" w:hAnsi="Calibri" w:cs="Calibri"/>
        </w:rPr>
        <w:t xml:space="preserve"> neutralizantes de las vacunas contra la COVID-19. [Internet] [</w:t>
      </w:r>
      <w:proofErr w:type="spellStart"/>
      <w:r w:rsidRPr="004D01B9">
        <w:rPr>
          <w:rFonts w:ascii="Calibri" w:hAnsi="Calibri" w:cs="Calibri"/>
        </w:rPr>
        <w:t>bachelorThesis</w:t>
      </w:r>
      <w:proofErr w:type="spellEnd"/>
      <w:r w:rsidRPr="004D01B9">
        <w:rPr>
          <w:rFonts w:ascii="Calibri" w:hAnsi="Calibri" w:cs="Calibri"/>
        </w:rPr>
        <w:t xml:space="preserve">]. </w:t>
      </w:r>
      <w:proofErr w:type="gramStart"/>
      <w:r w:rsidRPr="004D01B9">
        <w:rPr>
          <w:rFonts w:ascii="Calibri" w:hAnsi="Calibri" w:cs="Calibri"/>
        </w:rPr>
        <w:t>Quito :</w:t>
      </w:r>
      <w:proofErr w:type="gramEnd"/>
      <w:r w:rsidRPr="004D01B9">
        <w:rPr>
          <w:rFonts w:ascii="Calibri" w:hAnsi="Calibri" w:cs="Calibri"/>
        </w:rPr>
        <w:t xml:space="preserve"> UCE; 2022 [citado 24 de abril de 2023]. Disponible en: http://www.dspace.uce.edu.ec/handle/25000/26793</w:t>
      </w:r>
    </w:p>
    <w:p w14:paraId="4B679D5B" w14:textId="77777777" w:rsidR="004D01B9" w:rsidRPr="004D01B9" w:rsidRDefault="004D01B9" w:rsidP="004D01B9">
      <w:pPr>
        <w:pStyle w:val="Bibliografa"/>
        <w:jc w:val="both"/>
        <w:rPr>
          <w:rFonts w:ascii="Calibri" w:hAnsi="Calibri" w:cs="Calibri"/>
        </w:rPr>
      </w:pPr>
      <w:r w:rsidRPr="004D01B9">
        <w:rPr>
          <w:rFonts w:ascii="Calibri" w:hAnsi="Calibri" w:cs="Calibri"/>
        </w:rPr>
        <w:t>31.</w:t>
      </w:r>
      <w:r w:rsidRPr="004D01B9">
        <w:rPr>
          <w:rFonts w:ascii="Calibri" w:hAnsi="Calibri" w:cs="Calibri"/>
        </w:rPr>
        <w:tab/>
        <w:t xml:space="preserve">Hidayat R, </w:t>
      </w:r>
      <w:proofErr w:type="spellStart"/>
      <w:r w:rsidRPr="004D01B9">
        <w:rPr>
          <w:rFonts w:ascii="Calibri" w:hAnsi="Calibri" w:cs="Calibri"/>
        </w:rPr>
        <w:t>Mustika</w:t>
      </w:r>
      <w:proofErr w:type="spellEnd"/>
      <w:r w:rsidRPr="004D01B9">
        <w:rPr>
          <w:rFonts w:ascii="Calibri" w:hAnsi="Calibri" w:cs="Calibri"/>
        </w:rPr>
        <w:t xml:space="preserve"> AP, </w:t>
      </w:r>
      <w:proofErr w:type="spellStart"/>
      <w:r w:rsidRPr="004D01B9">
        <w:rPr>
          <w:rFonts w:ascii="Calibri" w:hAnsi="Calibri" w:cs="Calibri"/>
        </w:rPr>
        <w:t>Avisha</w:t>
      </w:r>
      <w:proofErr w:type="spellEnd"/>
      <w:r w:rsidRPr="004D01B9">
        <w:rPr>
          <w:rFonts w:ascii="Calibri" w:hAnsi="Calibri" w:cs="Calibri"/>
        </w:rPr>
        <w:t xml:space="preserve"> F, </w:t>
      </w:r>
      <w:proofErr w:type="spellStart"/>
      <w:r w:rsidRPr="004D01B9">
        <w:rPr>
          <w:rFonts w:ascii="Calibri" w:hAnsi="Calibri" w:cs="Calibri"/>
        </w:rPr>
        <w:t>Djuliannisaa</w:t>
      </w:r>
      <w:proofErr w:type="spellEnd"/>
      <w:r w:rsidRPr="004D01B9">
        <w:rPr>
          <w:rFonts w:ascii="Calibri" w:hAnsi="Calibri" w:cs="Calibri"/>
        </w:rPr>
        <w:t xml:space="preserve"> Z, </w:t>
      </w:r>
      <w:proofErr w:type="spellStart"/>
      <w:r w:rsidRPr="004D01B9">
        <w:rPr>
          <w:rFonts w:ascii="Calibri" w:hAnsi="Calibri" w:cs="Calibri"/>
        </w:rPr>
        <w:t>Winari</w:t>
      </w:r>
      <w:proofErr w:type="spellEnd"/>
      <w:r w:rsidRPr="004D01B9">
        <w:rPr>
          <w:rFonts w:ascii="Calibri" w:hAnsi="Calibri" w:cs="Calibri"/>
        </w:rPr>
        <w:t xml:space="preserve"> DD, </w:t>
      </w:r>
      <w:proofErr w:type="spellStart"/>
      <w:r w:rsidRPr="004D01B9">
        <w:rPr>
          <w:rFonts w:ascii="Calibri" w:hAnsi="Calibri" w:cs="Calibri"/>
        </w:rPr>
        <w:t>Putri</w:t>
      </w:r>
      <w:proofErr w:type="spellEnd"/>
      <w:r w:rsidRPr="004D01B9">
        <w:rPr>
          <w:rFonts w:ascii="Calibri" w:hAnsi="Calibri" w:cs="Calibri"/>
        </w:rPr>
        <w:t xml:space="preserve"> RA, et al. </w:t>
      </w:r>
      <w:proofErr w:type="spellStart"/>
      <w:r w:rsidRPr="004D01B9">
        <w:rPr>
          <w:rFonts w:ascii="Calibri" w:hAnsi="Calibri" w:cs="Calibri"/>
        </w:rPr>
        <w:t>Evaluation</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SARS-CoV-2 </w:t>
      </w:r>
      <w:proofErr w:type="spellStart"/>
      <w:r w:rsidRPr="004D01B9">
        <w:rPr>
          <w:rFonts w:ascii="Calibri" w:hAnsi="Calibri" w:cs="Calibri"/>
        </w:rPr>
        <w:t>Antibody</w:t>
      </w:r>
      <w:proofErr w:type="spellEnd"/>
      <w:r w:rsidRPr="004D01B9">
        <w:rPr>
          <w:rFonts w:ascii="Calibri" w:hAnsi="Calibri" w:cs="Calibri"/>
        </w:rPr>
        <w:t xml:space="preserve"> Response Post </w:t>
      </w:r>
      <w:proofErr w:type="spellStart"/>
      <w:r w:rsidRPr="004D01B9">
        <w:rPr>
          <w:rFonts w:ascii="Calibri" w:hAnsi="Calibri" w:cs="Calibri"/>
        </w:rPr>
        <w:t>Third</w:t>
      </w:r>
      <w:proofErr w:type="spellEnd"/>
      <w:r w:rsidRPr="004D01B9">
        <w:rPr>
          <w:rFonts w:ascii="Calibri" w:hAnsi="Calibri" w:cs="Calibri"/>
        </w:rPr>
        <w:t xml:space="preserve"> </w:t>
      </w:r>
      <w:proofErr w:type="spellStart"/>
      <w:r w:rsidRPr="004D01B9">
        <w:rPr>
          <w:rFonts w:ascii="Calibri" w:hAnsi="Calibri" w:cs="Calibri"/>
        </w:rPr>
        <w:t>Dose</w:t>
      </w:r>
      <w:proofErr w:type="spellEnd"/>
      <w:r w:rsidRPr="004D01B9">
        <w:rPr>
          <w:rFonts w:ascii="Calibri" w:hAnsi="Calibri" w:cs="Calibri"/>
        </w:rPr>
        <w:t xml:space="preserve"> COVID-19 mRNA </w:t>
      </w:r>
      <w:proofErr w:type="spellStart"/>
      <w:r w:rsidRPr="004D01B9">
        <w:rPr>
          <w:rFonts w:ascii="Calibri" w:hAnsi="Calibri" w:cs="Calibri"/>
        </w:rPr>
        <w:t>Vaccination</w:t>
      </w:r>
      <w:proofErr w:type="spellEnd"/>
      <w:r w:rsidRPr="004D01B9">
        <w:rPr>
          <w:rFonts w:ascii="Calibri" w:hAnsi="Calibri" w:cs="Calibri"/>
        </w:rPr>
        <w:t xml:space="preserve"> at </w:t>
      </w:r>
      <w:proofErr w:type="spellStart"/>
      <w:r w:rsidRPr="004D01B9">
        <w:rPr>
          <w:rFonts w:ascii="Calibri" w:hAnsi="Calibri" w:cs="Calibri"/>
        </w:rPr>
        <w:t>Universitas</w:t>
      </w:r>
      <w:proofErr w:type="spellEnd"/>
      <w:r w:rsidRPr="004D01B9">
        <w:rPr>
          <w:rFonts w:ascii="Calibri" w:hAnsi="Calibri" w:cs="Calibri"/>
        </w:rPr>
        <w:t xml:space="preserve"> Indonesia Hospital. Acta Medica Acad. agosto de 2022;51(2):69-78. </w:t>
      </w:r>
    </w:p>
    <w:p w14:paraId="610C90C3" w14:textId="77777777" w:rsidR="004D01B9" w:rsidRPr="004D01B9" w:rsidRDefault="004D01B9" w:rsidP="004D01B9">
      <w:pPr>
        <w:pStyle w:val="Bibliografa"/>
        <w:jc w:val="both"/>
        <w:rPr>
          <w:rFonts w:ascii="Calibri" w:hAnsi="Calibri" w:cs="Calibri"/>
        </w:rPr>
      </w:pPr>
      <w:r w:rsidRPr="004D01B9">
        <w:rPr>
          <w:rFonts w:ascii="Calibri" w:hAnsi="Calibri" w:cs="Calibri"/>
        </w:rPr>
        <w:t>32.</w:t>
      </w:r>
      <w:r w:rsidRPr="004D01B9">
        <w:rPr>
          <w:rFonts w:ascii="Calibri" w:hAnsi="Calibri" w:cs="Calibri"/>
        </w:rPr>
        <w:tab/>
      </w:r>
      <w:proofErr w:type="spellStart"/>
      <w:r w:rsidRPr="004D01B9">
        <w:rPr>
          <w:rFonts w:ascii="Calibri" w:hAnsi="Calibri" w:cs="Calibri"/>
        </w:rPr>
        <w:t>Czéh</w:t>
      </w:r>
      <w:proofErr w:type="spellEnd"/>
      <w:r w:rsidRPr="004D01B9">
        <w:rPr>
          <w:rFonts w:ascii="Calibri" w:hAnsi="Calibri" w:cs="Calibri"/>
        </w:rPr>
        <w:t xml:space="preserve"> Á, </w:t>
      </w:r>
      <w:proofErr w:type="spellStart"/>
      <w:r w:rsidRPr="004D01B9">
        <w:rPr>
          <w:rFonts w:ascii="Calibri" w:hAnsi="Calibri" w:cs="Calibri"/>
        </w:rPr>
        <w:t>Mézes</w:t>
      </w:r>
      <w:proofErr w:type="spellEnd"/>
      <w:r w:rsidRPr="004D01B9">
        <w:rPr>
          <w:rFonts w:ascii="Calibri" w:hAnsi="Calibri" w:cs="Calibri"/>
        </w:rPr>
        <w:t xml:space="preserve"> M, Mandy F, </w:t>
      </w:r>
      <w:proofErr w:type="spellStart"/>
      <w:r w:rsidRPr="004D01B9">
        <w:rPr>
          <w:rFonts w:ascii="Calibri" w:hAnsi="Calibri" w:cs="Calibri"/>
        </w:rPr>
        <w:t>Szőke</w:t>
      </w:r>
      <w:proofErr w:type="spellEnd"/>
      <w:r w:rsidRPr="004D01B9">
        <w:rPr>
          <w:rFonts w:ascii="Calibri" w:hAnsi="Calibri" w:cs="Calibri"/>
        </w:rPr>
        <w:t xml:space="preserve"> Z, </w:t>
      </w:r>
      <w:proofErr w:type="spellStart"/>
      <w:r w:rsidRPr="004D01B9">
        <w:rPr>
          <w:rFonts w:ascii="Calibri" w:hAnsi="Calibri" w:cs="Calibri"/>
        </w:rPr>
        <w:t>Nagyéri</w:t>
      </w:r>
      <w:proofErr w:type="spellEnd"/>
      <w:r w:rsidRPr="004D01B9">
        <w:rPr>
          <w:rFonts w:ascii="Calibri" w:hAnsi="Calibri" w:cs="Calibri"/>
        </w:rPr>
        <w:t xml:space="preserve"> G, </w:t>
      </w:r>
      <w:proofErr w:type="spellStart"/>
      <w:r w:rsidRPr="004D01B9">
        <w:rPr>
          <w:rFonts w:ascii="Calibri" w:hAnsi="Calibri" w:cs="Calibri"/>
        </w:rPr>
        <w:t>Laufer</w:t>
      </w:r>
      <w:proofErr w:type="spellEnd"/>
      <w:r w:rsidRPr="004D01B9">
        <w:rPr>
          <w:rFonts w:ascii="Calibri" w:hAnsi="Calibri" w:cs="Calibri"/>
        </w:rPr>
        <w:t xml:space="preserve"> N, et al. Flow </w:t>
      </w:r>
      <w:proofErr w:type="spellStart"/>
      <w:r w:rsidRPr="004D01B9">
        <w:rPr>
          <w:rFonts w:ascii="Calibri" w:hAnsi="Calibri" w:cs="Calibri"/>
        </w:rPr>
        <w:t>cytometry</w:t>
      </w:r>
      <w:proofErr w:type="spellEnd"/>
      <w:r w:rsidRPr="004D01B9">
        <w:rPr>
          <w:rFonts w:ascii="Calibri" w:hAnsi="Calibri" w:cs="Calibri"/>
        </w:rPr>
        <w:t xml:space="preserve"> </w:t>
      </w:r>
      <w:proofErr w:type="spellStart"/>
      <w:r w:rsidRPr="004D01B9">
        <w:rPr>
          <w:rFonts w:ascii="Calibri" w:hAnsi="Calibri" w:cs="Calibri"/>
        </w:rPr>
        <w:t>based</w:t>
      </w:r>
      <w:proofErr w:type="spellEnd"/>
      <w:r w:rsidRPr="004D01B9">
        <w:rPr>
          <w:rFonts w:ascii="Calibri" w:hAnsi="Calibri" w:cs="Calibri"/>
        </w:rPr>
        <w:t xml:space="preserve"> </w:t>
      </w:r>
      <w:proofErr w:type="spellStart"/>
      <w:r w:rsidRPr="004D01B9">
        <w:rPr>
          <w:rFonts w:ascii="Calibri" w:hAnsi="Calibri" w:cs="Calibri"/>
        </w:rPr>
        <w:t>rapid</w:t>
      </w:r>
      <w:proofErr w:type="spellEnd"/>
      <w:r w:rsidRPr="004D01B9">
        <w:rPr>
          <w:rFonts w:ascii="Calibri" w:hAnsi="Calibri" w:cs="Calibri"/>
        </w:rPr>
        <w:t xml:space="preserve"> </w:t>
      </w:r>
      <w:proofErr w:type="spellStart"/>
      <w:r w:rsidRPr="004D01B9">
        <w:rPr>
          <w:rFonts w:ascii="Calibri" w:hAnsi="Calibri" w:cs="Calibri"/>
        </w:rPr>
        <w:t>duplexed</w:t>
      </w:r>
      <w:proofErr w:type="spellEnd"/>
      <w:r w:rsidRPr="004D01B9">
        <w:rPr>
          <w:rFonts w:ascii="Calibri" w:hAnsi="Calibri" w:cs="Calibri"/>
        </w:rPr>
        <w:t xml:space="preserve"> </w:t>
      </w:r>
      <w:proofErr w:type="spellStart"/>
      <w:r w:rsidRPr="004D01B9">
        <w:rPr>
          <w:rFonts w:ascii="Calibri" w:hAnsi="Calibri" w:cs="Calibri"/>
        </w:rPr>
        <w:t>immunoassay</w:t>
      </w:r>
      <w:proofErr w:type="spellEnd"/>
      <w:r w:rsidRPr="004D01B9">
        <w:rPr>
          <w:rFonts w:ascii="Calibri" w:hAnsi="Calibri" w:cs="Calibri"/>
        </w:rPr>
        <w:t xml:space="preserve"> </w:t>
      </w:r>
      <w:proofErr w:type="spellStart"/>
      <w:r w:rsidRPr="004D01B9">
        <w:rPr>
          <w:rFonts w:ascii="Calibri" w:hAnsi="Calibri" w:cs="Calibri"/>
        </w:rPr>
        <w:t>for</w:t>
      </w:r>
      <w:proofErr w:type="spellEnd"/>
      <w:r w:rsidRPr="004D01B9">
        <w:rPr>
          <w:rFonts w:ascii="Calibri" w:hAnsi="Calibri" w:cs="Calibri"/>
        </w:rPr>
        <w:t xml:space="preserve"> fusarium </w:t>
      </w:r>
      <w:proofErr w:type="spellStart"/>
      <w:r w:rsidRPr="004D01B9">
        <w:rPr>
          <w:rFonts w:ascii="Calibri" w:hAnsi="Calibri" w:cs="Calibri"/>
        </w:rPr>
        <w:t>mycotoxins</w:t>
      </w:r>
      <w:proofErr w:type="spellEnd"/>
      <w:r w:rsidRPr="004D01B9">
        <w:rPr>
          <w:rFonts w:ascii="Calibri" w:hAnsi="Calibri" w:cs="Calibri"/>
        </w:rPr>
        <w:t xml:space="preserve">. </w:t>
      </w:r>
      <w:proofErr w:type="spellStart"/>
      <w:r w:rsidRPr="004D01B9">
        <w:rPr>
          <w:rFonts w:ascii="Calibri" w:hAnsi="Calibri" w:cs="Calibri"/>
        </w:rPr>
        <w:t>Cytom</w:t>
      </w:r>
      <w:proofErr w:type="spellEnd"/>
      <w:r w:rsidRPr="004D01B9">
        <w:rPr>
          <w:rFonts w:ascii="Calibri" w:hAnsi="Calibri" w:cs="Calibri"/>
        </w:rPr>
        <w:t xml:space="preserve"> </w:t>
      </w:r>
      <w:proofErr w:type="spellStart"/>
      <w:r w:rsidRPr="004D01B9">
        <w:rPr>
          <w:rFonts w:ascii="Calibri" w:hAnsi="Calibri" w:cs="Calibri"/>
        </w:rPr>
        <w:t>Part</w:t>
      </w:r>
      <w:proofErr w:type="spellEnd"/>
      <w:r w:rsidRPr="004D01B9">
        <w:rPr>
          <w:rFonts w:ascii="Calibri" w:hAnsi="Calibri" w:cs="Calibri"/>
        </w:rPr>
        <w:t xml:space="preserve"> J </w:t>
      </w:r>
      <w:proofErr w:type="spellStart"/>
      <w:r w:rsidRPr="004D01B9">
        <w:rPr>
          <w:rFonts w:ascii="Calibri" w:hAnsi="Calibri" w:cs="Calibri"/>
        </w:rPr>
        <w:t>Int</w:t>
      </w:r>
      <w:proofErr w:type="spellEnd"/>
      <w:r w:rsidRPr="004D01B9">
        <w:rPr>
          <w:rFonts w:ascii="Calibri" w:hAnsi="Calibri" w:cs="Calibri"/>
        </w:rPr>
        <w:t xml:space="preserve"> </w:t>
      </w:r>
      <w:proofErr w:type="spellStart"/>
      <w:r w:rsidRPr="004D01B9">
        <w:rPr>
          <w:rFonts w:ascii="Calibri" w:hAnsi="Calibri" w:cs="Calibri"/>
        </w:rPr>
        <w:t>Soc</w:t>
      </w:r>
      <w:proofErr w:type="spellEnd"/>
      <w:r w:rsidRPr="004D01B9">
        <w:rPr>
          <w:rFonts w:ascii="Calibri" w:hAnsi="Calibri" w:cs="Calibri"/>
        </w:rPr>
        <w:t xml:space="preserve"> Anal </w:t>
      </w:r>
      <w:proofErr w:type="spellStart"/>
      <w:r w:rsidRPr="004D01B9">
        <w:rPr>
          <w:rFonts w:ascii="Calibri" w:hAnsi="Calibri" w:cs="Calibri"/>
        </w:rPr>
        <w:t>Cytol</w:t>
      </w:r>
      <w:proofErr w:type="spellEnd"/>
      <w:r w:rsidRPr="004D01B9">
        <w:rPr>
          <w:rFonts w:ascii="Calibri" w:hAnsi="Calibri" w:cs="Calibri"/>
        </w:rPr>
        <w:t xml:space="preserve">. febrero de 2017;91(2):190-6. </w:t>
      </w:r>
    </w:p>
    <w:p w14:paraId="3A1A677A" w14:textId="77777777" w:rsidR="004D01B9" w:rsidRPr="004D01B9" w:rsidRDefault="004D01B9" w:rsidP="004D01B9">
      <w:pPr>
        <w:pStyle w:val="Bibliografa"/>
        <w:jc w:val="both"/>
        <w:rPr>
          <w:rFonts w:ascii="Calibri" w:hAnsi="Calibri" w:cs="Calibri"/>
        </w:rPr>
      </w:pPr>
      <w:r w:rsidRPr="004D01B9">
        <w:rPr>
          <w:rFonts w:ascii="Calibri" w:hAnsi="Calibri" w:cs="Calibri"/>
        </w:rPr>
        <w:lastRenderedPageBreak/>
        <w:t>33.</w:t>
      </w:r>
      <w:r w:rsidRPr="004D01B9">
        <w:rPr>
          <w:rFonts w:ascii="Calibri" w:hAnsi="Calibri" w:cs="Calibri"/>
        </w:rPr>
        <w:tab/>
        <w:t xml:space="preserve">Liu H, </w:t>
      </w:r>
      <w:proofErr w:type="spellStart"/>
      <w:r w:rsidRPr="004D01B9">
        <w:rPr>
          <w:rFonts w:ascii="Calibri" w:hAnsi="Calibri" w:cs="Calibri"/>
        </w:rPr>
        <w:t>Varvel</w:t>
      </w:r>
      <w:proofErr w:type="spellEnd"/>
      <w:r w:rsidRPr="004D01B9">
        <w:rPr>
          <w:rFonts w:ascii="Calibri" w:hAnsi="Calibri" w:cs="Calibri"/>
        </w:rPr>
        <w:t xml:space="preserve"> S, Chen G, </w:t>
      </w:r>
      <w:proofErr w:type="spellStart"/>
      <w:r w:rsidRPr="004D01B9">
        <w:rPr>
          <w:rFonts w:ascii="Calibri" w:hAnsi="Calibri" w:cs="Calibri"/>
        </w:rPr>
        <w:t>McConnell</w:t>
      </w:r>
      <w:proofErr w:type="spellEnd"/>
      <w:r w:rsidRPr="004D01B9">
        <w:rPr>
          <w:rFonts w:ascii="Calibri" w:hAnsi="Calibri" w:cs="Calibri"/>
        </w:rPr>
        <w:t xml:space="preserve"> J, </w:t>
      </w:r>
      <w:proofErr w:type="spellStart"/>
      <w:r w:rsidRPr="004D01B9">
        <w:rPr>
          <w:rFonts w:ascii="Calibri" w:hAnsi="Calibri" w:cs="Calibri"/>
        </w:rPr>
        <w:t>Caffrey</w:t>
      </w:r>
      <w:proofErr w:type="spellEnd"/>
      <w:r w:rsidRPr="004D01B9">
        <w:rPr>
          <w:rFonts w:ascii="Calibri" w:hAnsi="Calibri" w:cs="Calibri"/>
        </w:rPr>
        <w:t xml:space="preserve"> R, </w:t>
      </w:r>
      <w:proofErr w:type="spellStart"/>
      <w:r w:rsidRPr="004D01B9">
        <w:rPr>
          <w:rFonts w:ascii="Calibri" w:hAnsi="Calibri" w:cs="Calibri"/>
        </w:rPr>
        <w:t>Galdzicka</w:t>
      </w:r>
      <w:proofErr w:type="spellEnd"/>
      <w:r w:rsidRPr="004D01B9">
        <w:rPr>
          <w:rFonts w:ascii="Calibri" w:hAnsi="Calibri" w:cs="Calibri"/>
        </w:rPr>
        <w:t xml:space="preserve"> M, et al. </w:t>
      </w:r>
      <w:proofErr w:type="spellStart"/>
      <w:r w:rsidRPr="004D01B9">
        <w:rPr>
          <w:rFonts w:ascii="Calibri" w:hAnsi="Calibri" w:cs="Calibri"/>
        </w:rPr>
        <w:t>Simultaneous</w:t>
      </w:r>
      <w:proofErr w:type="spellEnd"/>
      <w:r w:rsidRPr="004D01B9">
        <w:rPr>
          <w:rFonts w:ascii="Calibri" w:hAnsi="Calibri" w:cs="Calibri"/>
        </w:rPr>
        <w:t xml:space="preserve"> </w:t>
      </w:r>
      <w:proofErr w:type="spellStart"/>
      <w:r w:rsidRPr="004D01B9">
        <w:rPr>
          <w:rFonts w:ascii="Calibri" w:hAnsi="Calibri" w:cs="Calibri"/>
        </w:rPr>
        <w:t>measurement</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w:t>
      </w:r>
      <w:proofErr w:type="spellStart"/>
      <w:r w:rsidRPr="004D01B9">
        <w:rPr>
          <w:rFonts w:ascii="Calibri" w:hAnsi="Calibri" w:cs="Calibri"/>
        </w:rPr>
        <w:t>multiple</w:t>
      </w:r>
      <w:proofErr w:type="spellEnd"/>
      <w:r w:rsidRPr="004D01B9">
        <w:rPr>
          <w:rFonts w:ascii="Calibri" w:hAnsi="Calibri" w:cs="Calibri"/>
        </w:rPr>
        <w:t xml:space="preserve"> </w:t>
      </w:r>
      <w:proofErr w:type="spellStart"/>
      <w:r w:rsidRPr="004D01B9">
        <w:rPr>
          <w:rFonts w:ascii="Calibri" w:hAnsi="Calibri" w:cs="Calibri"/>
        </w:rPr>
        <w:t>variant-specific</w:t>
      </w:r>
      <w:proofErr w:type="spellEnd"/>
      <w:r w:rsidRPr="004D01B9">
        <w:rPr>
          <w:rFonts w:ascii="Calibri" w:hAnsi="Calibri" w:cs="Calibri"/>
        </w:rPr>
        <w:t xml:space="preserve"> SARS-CoV-2 </w:t>
      </w:r>
      <w:proofErr w:type="spellStart"/>
      <w:r w:rsidRPr="004D01B9">
        <w:rPr>
          <w:rFonts w:ascii="Calibri" w:hAnsi="Calibri" w:cs="Calibri"/>
        </w:rPr>
        <w:t>neutralizing</w:t>
      </w:r>
      <w:proofErr w:type="spellEnd"/>
      <w:r w:rsidRPr="004D01B9">
        <w:rPr>
          <w:rFonts w:ascii="Calibri" w:hAnsi="Calibri" w:cs="Calibri"/>
        </w:rPr>
        <w:t xml:space="preserve"> </w:t>
      </w:r>
      <w:proofErr w:type="spellStart"/>
      <w:r w:rsidRPr="004D01B9">
        <w:rPr>
          <w:rFonts w:ascii="Calibri" w:hAnsi="Calibri" w:cs="Calibri"/>
        </w:rPr>
        <w:t>antibodies</w:t>
      </w:r>
      <w:proofErr w:type="spellEnd"/>
      <w:r w:rsidRPr="004D01B9">
        <w:rPr>
          <w:rFonts w:ascii="Calibri" w:hAnsi="Calibri" w:cs="Calibri"/>
        </w:rPr>
        <w:t xml:space="preserve"> </w:t>
      </w:r>
      <w:proofErr w:type="spellStart"/>
      <w:r w:rsidRPr="004D01B9">
        <w:rPr>
          <w:rFonts w:ascii="Calibri" w:hAnsi="Calibri" w:cs="Calibri"/>
        </w:rPr>
        <w:t>with</w:t>
      </w:r>
      <w:proofErr w:type="spellEnd"/>
      <w:r w:rsidRPr="004D01B9">
        <w:rPr>
          <w:rFonts w:ascii="Calibri" w:hAnsi="Calibri" w:cs="Calibri"/>
        </w:rPr>
        <w:t xml:space="preserve"> a </w:t>
      </w:r>
      <w:proofErr w:type="spellStart"/>
      <w:r w:rsidRPr="004D01B9">
        <w:rPr>
          <w:rFonts w:ascii="Calibri" w:hAnsi="Calibri" w:cs="Calibri"/>
        </w:rPr>
        <w:t>multiplexed</w:t>
      </w:r>
      <w:proofErr w:type="spellEnd"/>
      <w:r w:rsidRPr="004D01B9">
        <w:rPr>
          <w:rFonts w:ascii="Calibri" w:hAnsi="Calibri" w:cs="Calibri"/>
        </w:rPr>
        <w:t xml:space="preserve"> </w:t>
      </w:r>
      <w:proofErr w:type="spellStart"/>
      <w:r w:rsidRPr="004D01B9">
        <w:rPr>
          <w:rFonts w:ascii="Calibri" w:hAnsi="Calibri" w:cs="Calibri"/>
        </w:rPr>
        <w:t>flow</w:t>
      </w:r>
      <w:proofErr w:type="spellEnd"/>
      <w:r w:rsidRPr="004D01B9">
        <w:rPr>
          <w:rFonts w:ascii="Calibri" w:hAnsi="Calibri" w:cs="Calibri"/>
        </w:rPr>
        <w:t xml:space="preserve"> </w:t>
      </w:r>
      <w:proofErr w:type="spellStart"/>
      <w:r w:rsidRPr="004D01B9">
        <w:rPr>
          <w:rFonts w:ascii="Calibri" w:hAnsi="Calibri" w:cs="Calibri"/>
        </w:rPr>
        <w:t>cytometric</w:t>
      </w:r>
      <w:proofErr w:type="spellEnd"/>
      <w:r w:rsidRPr="004D01B9">
        <w:rPr>
          <w:rFonts w:ascii="Calibri" w:hAnsi="Calibri" w:cs="Calibri"/>
        </w:rPr>
        <w:t xml:space="preserve"> </w:t>
      </w:r>
      <w:proofErr w:type="spellStart"/>
      <w:r w:rsidRPr="004D01B9">
        <w:rPr>
          <w:rFonts w:ascii="Calibri" w:hAnsi="Calibri" w:cs="Calibri"/>
        </w:rPr>
        <w:t>assay</w:t>
      </w:r>
      <w:proofErr w:type="spellEnd"/>
      <w:r w:rsidRPr="004D01B9">
        <w:rPr>
          <w:rFonts w:ascii="Calibri" w:hAnsi="Calibri" w:cs="Calibri"/>
        </w:rPr>
        <w:t xml:space="preserve">. Front </w:t>
      </w:r>
      <w:proofErr w:type="spellStart"/>
      <w:r w:rsidRPr="004D01B9">
        <w:rPr>
          <w:rFonts w:ascii="Calibri" w:hAnsi="Calibri" w:cs="Calibri"/>
        </w:rPr>
        <w:t>Immunol</w:t>
      </w:r>
      <w:proofErr w:type="spellEnd"/>
      <w:r w:rsidRPr="004D01B9">
        <w:rPr>
          <w:rFonts w:ascii="Calibri" w:hAnsi="Calibri" w:cs="Calibri"/>
        </w:rPr>
        <w:t xml:space="preserve"> [Internet]. 2022 [citado 14 de abril de 2023];13. Disponible en: https://www.frontiersin.org/articles/10.3389/fimmu.2022.1039163</w:t>
      </w:r>
    </w:p>
    <w:p w14:paraId="2200769C" w14:textId="77777777" w:rsidR="004D01B9" w:rsidRPr="004D01B9" w:rsidRDefault="004D01B9" w:rsidP="004D01B9">
      <w:pPr>
        <w:pStyle w:val="Bibliografa"/>
        <w:jc w:val="both"/>
        <w:rPr>
          <w:rFonts w:ascii="Calibri" w:hAnsi="Calibri" w:cs="Calibri"/>
        </w:rPr>
      </w:pPr>
      <w:r w:rsidRPr="004D01B9">
        <w:rPr>
          <w:rFonts w:ascii="Calibri" w:hAnsi="Calibri" w:cs="Calibri"/>
        </w:rPr>
        <w:t>34.</w:t>
      </w:r>
      <w:r w:rsidRPr="004D01B9">
        <w:rPr>
          <w:rFonts w:ascii="Calibri" w:hAnsi="Calibri" w:cs="Calibri"/>
        </w:rPr>
        <w:tab/>
        <w:t xml:space="preserve">Médica G. </w:t>
      </w:r>
      <w:proofErr w:type="gramStart"/>
      <w:r w:rsidRPr="004D01B9">
        <w:rPr>
          <w:rFonts w:ascii="Calibri" w:hAnsi="Calibri" w:cs="Calibri"/>
        </w:rPr>
        <w:t>Un test</w:t>
      </w:r>
      <w:proofErr w:type="gramEnd"/>
      <w:r w:rsidRPr="004D01B9">
        <w:rPr>
          <w:rFonts w:ascii="Calibri" w:hAnsi="Calibri" w:cs="Calibri"/>
        </w:rPr>
        <w:t xml:space="preserve"> diferencia personas vacunadas de las que han padecido COVID [Internet]. Gaceta Médica. 2021 [citado 17 de abril de 2023]. Disponible en: https://gacetamedica.com/investigacion/un-test-diferencia-a-las-personas-vacunadas-de-las-que-han-padecido-covid-19/</w:t>
      </w:r>
    </w:p>
    <w:p w14:paraId="06D2F67F" w14:textId="77777777" w:rsidR="004D01B9" w:rsidRPr="004D01B9" w:rsidRDefault="004D01B9" w:rsidP="004D01B9">
      <w:pPr>
        <w:pStyle w:val="Bibliografa"/>
        <w:jc w:val="both"/>
        <w:rPr>
          <w:rFonts w:ascii="Calibri" w:hAnsi="Calibri" w:cs="Calibri"/>
        </w:rPr>
      </w:pPr>
      <w:r w:rsidRPr="004D01B9">
        <w:rPr>
          <w:rFonts w:ascii="Calibri" w:hAnsi="Calibri" w:cs="Calibri"/>
        </w:rPr>
        <w:t>35.</w:t>
      </w:r>
      <w:r w:rsidRPr="004D01B9">
        <w:rPr>
          <w:rFonts w:ascii="Calibri" w:hAnsi="Calibri" w:cs="Calibri"/>
        </w:rPr>
        <w:tab/>
      </w:r>
      <w:proofErr w:type="spellStart"/>
      <w:r w:rsidRPr="004D01B9">
        <w:rPr>
          <w:rFonts w:ascii="Calibri" w:hAnsi="Calibri" w:cs="Calibri"/>
        </w:rPr>
        <w:t>Astakhova</w:t>
      </w:r>
      <w:proofErr w:type="spellEnd"/>
      <w:r w:rsidRPr="004D01B9">
        <w:rPr>
          <w:rFonts w:ascii="Calibri" w:hAnsi="Calibri" w:cs="Calibri"/>
        </w:rPr>
        <w:t xml:space="preserve"> EA, </w:t>
      </w:r>
      <w:proofErr w:type="spellStart"/>
      <w:r w:rsidRPr="004D01B9">
        <w:rPr>
          <w:rFonts w:ascii="Calibri" w:hAnsi="Calibri" w:cs="Calibri"/>
        </w:rPr>
        <w:t>Byazrova</w:t>
      </w:r>
      <w:proofErr w:type="spellEnd"/>
      <w:r w:rsidRPr="004D01B9">
        <w:rPr>
          <w:rFonts w:ascii="Calibri" w:hAnsi="Calibri" w:cs="Calibri"/>
        </w:rPr>
        <w:t xml:space="preserve"> MG, </w:t>
      </w:r>
      <w:proofErr w:type="spellStart"/>
      <w:r w:rsidRPr="004D01B9">
        <w:rPr>
          <w:rFonts w:ascii="Calibri" w:hAnsi="Calibri" w:cs="Calibri"/>
        </w:rPr>
        <w:t>Milyaev</w:t>
      </w:r>
      <w:proofErr w:type="spellEnd"/>
      <w:r w:rsidRPr="004D01B9">
        <w:rPr>
          <w:rFonts w:ascii="Calibri" w:hAnsi="Calibri" w:cs="Calibri"/>
        </w:rPr>
        <w:t xml:space="preserve"> SM, </w:t>
      </w:r>
      <w:proofErr w:type="spellStart"/>
      <w:r w:rsidRPr="004D01B9">
        <w:rPr>
          <w:rFonts w:ascii="Calibri" w:hAnsi="Calibri" w:cs="Calibri"/>
        </w:rPr>
        <w:t>Sukhova</w:t>
      </w:r>
      <w:proofErr w:type="spellEnd"/>
      <w:r w:rsidRPr="004D01B9">
        <w:rPr>
          <w:rFonts w:ascii="Calibri" w:hAnsi="Calibri" w:cs="Calibri"/>
        </w:rPr>
        <w:t xml:space="preserve"> MM, </w:t>
      </w:r>
      <w:proofErr w:type="spellStart"/>
      <w:r w:rsidRPr="004D01B9">
        <w:rPr>
          <w:rFonts w:ascii="Calibri" w:hAnsi="Calibri" w:cs="Calibri"/>
        </w:rPr>
        <w:t>Mikhailov</w:t>
      </w:r>
      <w:proofErr w:type="spellEnd"/>
      <w:r w:rsidRPr="004D01B9">
        <w:rPr>
          <w:rFonts w:ascii="Calibri" w:hAnsi="Calibri" w:cs="Calibri"/>
        </w:rPr>
        <w:t xml:space="preserve"> AA, Morozov AA, et al. Flow </w:t>
      </w:r>
      <w:proofErr w:type="spellStart"/>
      <w:r w:rsidRPr="004D01B9">
        <w:rPr>
          <w:rFonts w:ascii="Calibri" w:hAnsi="Calibri" w:cs="Calibri"/>
        </w:rPr>
        <w:t>cytometric</w:t>
      </w:r>
      <w:proofErr w:type="spellEnd"/>
      <w:r w:rsidRPr="004D01B9">
        <w:rPr>
          <w:rFonts w:ascii="Calibri" w:hAnsi="Calibri" w:cs="Calibri"/>
        </w:rPr>
        <w:t xml:space="preserve"> </w:t>
      </w:r>
      <w:proofErr w:type="spellStart"/>
      <w:r w:rsidRPr="004D01B9">
        <w:rPr>
          <w:rFonts w:ascii="Calibri" w:hAnsi="Calibri" w:cs="Calibri"/>
        </w:rPr>
        <w:t>assay</w:t>
      </w:r>
      <w:proofErr w:type="spellEnd"/>
      <w:r w:rsidRPr="004D01B9">
        <w:rPr>
          <w:rFonts w:ascii="Calibri" w:hAnsi="Calibri" w:cs="Calibri"/>
        </w:rPr>
        <w:t xml:space="preserve"> </w:t>
      </w:r>
      <w:proofErr w:type="spellStart"/>
      <w:r w:rsidRPr="004D01B9">
        <w:rPr>
          <w:rFonts w:ascii="Calibri" w:hAnsi="Calibri" w:cs="Calibri"/>
        </w:rPr>
        <w:t>for</w:t>
      </w:r>
      <w:proofErr w:type="spellEnd"/>
      <w:r w:rsidRPr="004D01B9">
        <w:rPr>
          <w:rFonts w:ascii="Calibri" w:hAnsi="Calibri" w:cs="Calibri"/>
        </w:rPr>
        <w:t xml:space="preserve"> </w:t>
      </w:r>
      <w:proofErr w:type="spellStart"/>
      <w:r w:rsidRPr="004D01B9">
        <w:rPr>
          <w:rFonts w:ascii="Calibri" w:hAnsi="Calibri" w:cs="Calibri"/>
        </w:rPr>
        <w:t>the</w:t>
      </w:r>
      <w:proofErr w:type="spellEnd"/>
      <w:r w:rsidRPr="004D01B9">
        <w:rPr>
          <w:rFonts w:ascii="Calibri" w:hAnsi="Calibri" w:cs="Calibri"/>
        </w:rPr>
        <w:t xml:space="preserve"> </w:t>
      </w:r>
      <w:proofErr w:type="spellStart"/>
      <w:r w:rsidRPr="004D01B9">
        <w:rPr>
          <w:rFonts w:ascii="Calibri" w:hAnsi="Calibri" w:cs="Calibri"/>
        </w:rPr>
        <w:t>detection</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anti-SARS-CoV-2 </w:t>
      </w:r>
      <w:proofErr w:type="spellStart"/>
      <w:r w:rsidRPr="004D01B9">
        <w:rPr>
          <w:rFonts w:ascii="Calibri" w:hAnsi="Calibri" w:cs="Calibri"/>
        </w:rPr>
        <w:t>Spike</w:t>
      </w:r>
      <w:proofErr w:type="spellEnd"/>
      <w:r w:rsidRPr="004D01B9">
        <w:rPr>
          <w:rFonts w:ascii="Calibri" w:hAnsi="Calibri" w:cs="Calibri"/>
        </w:rPr>
        <w:t xml:space="preserve"> </w:t>
      </w:r>
      <w:proofErr w:type="spellStart"/>
      <w:r w:rsidRPr="004D01B9">
        <w:rPr>
          <w:rFonts w:ascii="Calibri" w:hAnsi="Calibri" w:cs="Calibri"/>
        </w:rPr>
        <w:t>protein</w:t>
      </w:r>
      <w:proofErr w:type="spellEnd"/>
      <w:r w:rsidRPr="004D01B9">
        <w:rPr>
          <w:rFonts w:ascii="Calibri" w:hAnsi="Calibri" w:cs="Calibri"/>
        </w:rPr>
        <w:t xml:space="preserve"> </w:t>
      </w:r>
      <w:proofErr w:type="spellStart"/>
      <w:r w:rsidRPr="004D01B9">
        <w:rPr>
          <w:rFonts w:ascii="Calibri" w:hAnsi="Calibri" w:cs="Calibri"/>
        </w:rPr>
        <w:t>antibodies</w:t>
      </w:r>
      <w:proofErr w:type="spellEnd"/>
      <w:r w:rsidRPr="004D01B9">
        <w:rPr>
          <w:rFonts w:ascii="Calibri" w:hAnsi="Calibri" w:cs="Calibri"/>
        </w:rPr>
        <w:t xml:space="preserve"> in </w:t>
      </w:r>
      <w:proofErr w:type="spellStart"/>
      <w:r w:rsidRPr="004D01B9">
        <w:rPr>
          <w:rFonts w:ascii="Calibri" w:hAnsi="Calibri" w:cs="Calibri"/>
        </w:rPr>
        <w:t>serum</w:t>
      </w:r>
      <w:proofErr w:type="spellEnd"/>
      <w:r w:rsidRPr="004D01B9">
        <w:rPr>
          <w:rFonts w:ascii="Calibri" w:hAnsi="Calibri" w:cs="Calibri"/>
        </w:rPr>
        <w:t xml:space="preserve"> </w:t>
      </w:r>
      <w:proofErr w:type="spellStart"/>
      <w:r w:rsidRPr="004D01B9">
        <w:rPr>
          <w:rFonts w:ascii="Calibri" w:hAnsi="Calibri" w:cs="Calibri"/>
        </w:rPr>
        <w:t>of</w:t>
      </w:r>
      <w:proofErr w:type="spellEnd"/>
      <w:r w:rsidRPr="004D01B9">
        <w:rPr>
          <w:rFonts w:ascii="Calibri" w:hAnsi="Calibri" w:cs="Calibri"/>
        </w:rPr>
        <w:t xml:space="preserve"> </w:t>
      </w:r>
      <w:proofErr w:type="spellStart"/>
      <w:r w:rsidRPr="004D01B9">
        <w:rPr>
          <w:rFonts w:ascii="Calibri" w:hAnsi="Calibri" w:cs="Calibri"/>
        </w:rPr>
        <w:t>vaccinated</w:t>
      </w:r>
      <w:proofErr w:type="spellEnd"/>
      <w:r w:rsidRPr="004D01B9">
        <w:rPr>
          <w:rFonts w:ascii="Calibri" w:hAnsi="Calibri" w:cs="Calibri"/>
        </w:rPr>
        <w:t xml:space="preserve"> </w:t>
      </w:r>
      <w:proofErr w:type="spellStart"/>
      <w:r w:rsidRPr="004D01B9">
        <w:rPr>
          <w:rFonts w:ascii="Calibri" w:hAnsi="Calibri" w:cs="Calibri"/>
        </w:rPr>
        <w:t>volunteers</w:t>
      </w:r>
      <w:proofErr w:type="spellEnd"/>
      <w:r w:rsidRPr="004D01B9">
        <w:rPr>
          <w:rFonts w:ascii="Calibri" w:hAnsi="Calibri" w:cs="Calibri"/>
        </w:rPr>
        <w:t xml:space="preserve">. </w:t>
      </w:r>
      <w:proofErr w:type="spellStart"/>
      <w:r w:rsidRPr="004D01B9">
        <w:rPr>
          <w:rFonts w:ascii="Calibri" w:hAnsi="Calibri" w:cs="Calibri"/>
        </w:rPr>
        <w:t>Immunologiya</w:t>
      </w:r>
      <w:proofErr w:type="spellEnd"/>
      <w:r w:rsidRPr="004D01B9">
        <w:rPr>
          <w:rFonts w:ascii="Calibri" w:hAnsi="Calibri" w:cs="Calibri"/>
        </w:rPr>
        <w:t xml:space="preserve">. 2022;43(4):447-57. </w:t>
      </w:r>
    </w:p>
    <w:p w14:paraId="664725F9" w14:textId="77777777" w:rsidR="004D01B9" w:rsidRPr="004D01B9" w:rsidRDefault="004D01B9" w:rsidP="004D01B9">
      <w:pPr>
        <w:pStyle w:val="Bibliografa"/>
        <w:jc w:val="both"/>
        <w:rPr>
          <w:rFonts w:ascii="Calibri" w:hAnsi="Calibri" w:cs="Calibri"/>
        </w:rPr>
      </w:pPr>
      <w:r w:rsidRPr="004D01B9">
        <w:rPr>
          <w:rFonts w:ascii="Calibri" w:hAnsi="Calibri" w:cs="Calibri"/>
        </w:rPr>
        <w:t>36.</w:t>
      </w:r>
      <w:r w:rsidRPr="004D01B9">
        <w:rPr>
          <w:rFonts w:ascii="Calibri" w:hAnsi="Calibri" w:cs="Calibri"/>
        </w:rPr>
        <w:tab/>
      </w:r>
      <w:proofErr w:type="spellStart"/>
      <w:r w:rsidRPr="004D01B9">
        <w:rPr>
          <w:rFonts w:ascii="Calibri" w:hAnsi="Calibri" w:cs="Calibri"/>
        </w:rPr>
        <w:t>Cordova</w:t>
      </w:r>
      <w:proofErr w:type="spellEnd"/>
      <w:r w:rsidRPr="004D01B9">
        <w:rPr>
          <w:rFonts w:ascii="Calibri" w:hAnsi="Calibri" w:cs="Calibri"/>
        </w:rPr>
        <w:t xml:space="preserve"> E, </w:t>
      </w:r>
      <w:proofErr w:type="spellStart"/>
      <w:r w:rsidRPr="004D01B9">
        <w:rPr>
          <w:rFonts w:ascii="Calibri" w:hAnsi="Calibri" w:cs="Calibri"/>
        </w:rPr>
        <w:t>Lespada</w:t>
      </w:r>
      <w:proofErr w:type="spellEnd"/>
      <w:r w:rsidRPr="004D01B9">
        <w:rPr>
          <w:rFonts w:ascii="Calibri" w:hAnsi="Calibri" w:cs="Calibri"/>
        </w:rPr>
        <w:t xml:space="preserve"> MI, </w:t>
      </w:r>
      <w:proofErr w:type="spellStart"/>
      <w:r w:rsidRPr="004D01B9">
        <w:rPr>
          <w:rFonts w:ascii="Calibri" w:hAnsi="Calibri" w:cs="Calibri"/>
        </w:rPr>
        <w:t>Cecchini</w:t>
      </w:r>
      <w:proofErr w:type="spellEnd"/>
      <w:r w:rsidRPr="004D01B9">
        <w:rPr>
          <w:rFonts w:ascii="Calibri" w:hAnsi="Calibri" w:cs="Calibri"/>
        </w:rPr>
        <w:t xml:space="preserve"> D, Nieto F, </w:t>
      </w:r>
      <w:proofErr w:type="spellStart"/>
      <w:r w:rsidRPr="004D01B9">
        <w:rPr>
          <w:rFonts w:ascii="Calibri" w:hAnsi="Calibri" w:cs="Calibri"/>
        </w:rPr>
        <w:t>Palonski</w:t>
      </w:r>
      <w:proofErr w:type="spellEnd"/>
      <w:r w:rsidRPr="004D01B9">
        <w:rPr>
          <w:rFonts w:ascii="Calibri" w:hAnsi="Calibri" w:cs="Calibri"/>
        </w:rPr>
        <w:t xml:space="preserve"> S, Badran M, et al. Evaluación de la respuesta de los anticuerpos IGG específicos contra SARS-CoV-2 en el personal de salud con el esquema completo de la vacuna Sputnik V (Gam-COVID-Vac). Vacunas [Internet]. 1 de mayo de 2022 [citado 24 de abril de 2023];</w:t>
      </w:r>
      <w:proofErr w:type="gramStart"/>
      <w:r w:rsidRPr="004D01B9">
        <w:rPr>
          <w:rFonts w:ascii="Calibri" w:hAnsi="Calibri" w:cs="Calibri"/>
        </w:rPr>
        <w:t>23:S</w:t>
      </w:r>
      <w:proofErr w:type="gramEnd"/>
      <w:r w:rsidRPr="004D01B9">
        <w:rPr>
          <w:rFonts w:ascii="Calibri" w:hAnsi="Calibri" w:cs="Calibri"/>
        </w:rPr>
        <w:t>14-21. Disponible en: https://www.sciencedirect.com/science/article/pii/S1576988722000279</w:t>
      </w:r>
    </w:p>
    <w:p w14:paraId="5288B85E" w14:textId="77777777" w:rsidR="004D01B9" w:rsidRPr="004D01B9" w:rsidRDefault="004D01B9" w:rsidP="004D01B9">
      <w:pPr>
        <w:pStyle w:val="Bibliografa"/>
        <w:jc w:val="both"/>
        <w:rPr>
          <w:rFonts w:ascii="Calibri" w:hAnsi="Calibri" w:cs="Calibri"/>
        </w:rPr>
      </w:pPr>
      <w:r w:rsidRPr="004D01B9">
        <w:rPr>
          <w:rFonts w:ascii="Calibri" w:hAnsi="Calibri" w:cs="Calibri"/>
        </w:rPr>
        <w:t>37.</w:t>
      </w:r>
      <w:r w:rsidRPr="004D01B9">
        <w:rPr>
          <w:rFonts w:ascii="Calibri" w:hAnsi="Calibri" w:cs="Calibri"/>
        </w:rPr>
        <w:tab/>
      </w:r>
      <w:proofErr w:type="spellStart"/>
      <w:r w:rsidRPr="004D01B9">
        <w:rPr>
          <w:rFonts w:ascii="Calibri" w:hAnsi="Calibri" w:cs="Calibri"/>
        </w:rPr>
        <w:t>McKinnon</w:t>
      </w:r>
      <w:proofErr w:type="spellEnd"/>
      <w:r w:rsidRPr="004D01B9">
        <w:rPr>
          <w:rFonts w:ascii="Calibri" w:hAnsi="Calibri" w:cs="Calibri"/>
        </w:rPr>
        <w:t xml:space="preserve"> KM. Flow </w:t>
      </w:r>
      <w:proofErr w:type="spellStart"/>
      <w:r w:rsidRPr="004D01B9">
        <w:rPr>
          <w:rFonts w:ascii="Calibri" w:hAnsi="Calibri" w:cs="Calibri"/>
        </w:rPr>
        <w:t>Cytometry</w:t>
      </w:r>
      <w:proofErr w:type="spellEnd"/>
      <w:r w:rsidRPr="004D01B9">
        <w:rPr>
          <w:rFonts w:ascii="Calibri" w:hAnsi="Calibri" w:cs="Calibri"/>
        </w:rPr>
        <w:t xml:space="preserve">: </w:t>
      </w:r>
      <w:proofErr w:type="spellStart"/>
      <w:r w:rsidRPr="004D01B9">
        <w:rPr>
          <w:rFonts w:ascii="Calibri" w:hAnsi="Calibri" w:cs="Calibri"/>
        </w:rPr>
        <w:t>An</w:t>
      </w:r>
      <w:proofErr w:type="spellEnd"/>
      <w:r w:rsidRPr="004D01B9">
        <w:rPr>
          <w:rFonts w:ascii="Calibri" w:hAnsi="Calibri" w:cs="Calibri"/>
        </w:rPr>
        <w:t xml:space="preserve"> </w:t>
      </w:r>
      <w:proofErr w:type="spellStart"/>
      <w:r w:rsidRPr="004D01B9">
        <w:rPr>
          <w:rFonts w:ascii="Calibri" w:hAnsi="Calibri" w:cs="Calibri"/>
        </w:rPr>
        <w:t>Overview</w:t>
      </w:r>
      <w:proofErr w:type="spellEnd"/>
      <w:r w:rsidRPr="004D01B9">
        <w:rPr>
          <w:rFonts w:ascii="Calibri" w:hAnsi="Calibri" w:cs="Calibri"/>
        </w:rPr>
        <w:t xml:space="preserve">. </w:t>
      </w:r>
      <w:proofErr w:type="spellStart"/>
      <w:r w:rsidRPr="004D01B9">
        <w:rPr>
          <w:rFonts w:ascii="Calibri" w:hAnsi="Calibri" w:cs="Calibri"/>
        </w:rPr>
        <w:t>Curr</w:t>
      </w:r>
      <w:proofErr w:type="spellEnd"/>
      <w:r w:rsidRPr="004D01B9">
        <w:rPr>
          <w:rFonts w:ascii="Calibri" w:hAnsi="Calibri" w:cs="Calibri"/>
        </w:rPr>
        <w:t xml:space="preserve"> </w:t>
      </w:r>
      <w:proofErr w:type="spellStart"/>
      <w:r w:rsidRPr="004D01B9">
        <w:rPr>
          <w:rFonts w:ascii="Calibri" w:hAnsi="Calibri" w:cs="Calibri"/>
        </w:rPr>
        <w:t>Protoc</w:t>
      </w:r>
      <w:proofErr w:type="spellEnd"/>
      <w:r w:rsidRPr="004D01B9">
        <w:rPr>
          <w:rFonts w:ascii="Calibri" w:hAnsi="Calibri" w:cs="Calibri"/>
        </w:rPr>
        <w:t xml:space="preserve"> </w:t>
      </w:r>
      <w:proofErr w:type="spellStart"/>
      <w:r w:rsidRPr="004D01B9">
        <w:rPr>
          <w:rFonts w:ascii="Calibri" w:hAnsi="Calibri" w:cs="Calibri"/>
        </w:rPr>
        <w:t>Immunol</w:t>
      </w:r>
      <w:proofErr w:type="spellEnd"/>
      <w:r w:rsidRPr="004D01B9">
        <w:rPr>
          <w:rFonts w:ascii="Calibri" w:hAnsi="Calibri" w:cs="Calibri"/>
        </w:rPr>
        <w:t xml:space="preserve">. 21 de febrero de </w:t>
      </w:r>
      <w:proofErr w:type="gramStart"/>
      <w:r w:rsidRPr="004D01B9">
        <w:rPr>
          <w:rFonts w:ascii="Calibri" w:hAnsi="Calibri" w:cs="Calibri"/>
        </w:rPr>
        <w:t>2018;120:5</w:t>
      </w:r>
      <w:proofErr w:type="gramEnd"/>
      <w:r w:rsidRPr="004D01B9">
        <w:rPr>
          <w:rFonts w:ascii="Calibri" w:hAnsi="Calibri" w:cs="Calibri"/>
        </w:rPr>
        <w:t xml:space="preserve">.1.1-5.1.11. </w:t>
      </w:r>
    </w:p>
    <w:p w14:paraId="595768E3" w14:textId="3B7932C2" w:rsidR="007B15E0" w:rsidRPr="002974BE" w:rsidRDefault="00D525A4" w:rsidP="004D01B9">
      <w:pPr>
        <w:pStyle w:val="Textoindependiente"/>
        <w:spacing w:before="0" w:after="0"/>
        <w:jc w:val="both"/>
        <w:rPr>
          <w:rFonts w:cstheme="minorHAnsi"/>
          <w:sz w:val="22"/>
          <w:szCs w:val="22"/>
        </w:rPr>
      </w:pPr>
      <w:r w:rsidRPr="002974BE">
        <w:rPr>
          <w:rFonts w:cstheme="minorHAnsi"/>
          <w:sz w:val="22"/>
          <w:szCs w:val="22"/>
        </w:rPr>
        <w:fldChar w:fldCharType="end"/>
      </w:r>
    </w:p>
    <w:p w14:paraId="095FAF60" w14:textId="77777777" w:rsidR="007B15E0" w:rsidRPr="002974BE" w:rsidRDefault="007B15E0" w:rsidP="001D7F2E">
      <w:pPr>
        <w:pStyle w:val="Textoindependiente"/>
        <w:spacing w:before="0" w:after="0" w:line="360" w:lineRule="auto"/>
        <w:jc w:val="both"/>
        <w:rPr>
          <w:rFonts w:cstheme="minorHAnsi"/>
          <w:sz w:val="22"/>
          <w:szCs w:val="22"/>
        </w:rPr>
      </w:pPr>
    </w:p>
    <w:p w14:paraId="36D7A05C" w14:textId="77777777" w:rsidR="007B15E0" w:rsidRPr="002974BE" w:rsidRDefault="007B15E0" w:rsidP="001D7F2E">
      <w:pPr>
        <w:pStyle w:val="Textoindependiente"/>
        <w:spacing w:before="0" w:after="0" w:line="360" w:lineRule="auto"/>
        <w:jc w:val="both"/>
        <w:rPr>
          <w:rFonts w:cstheme="minorHAnsi"/>
          <w:sz w:val="22"/>
          <w:szCs w:val="22"/>
        </w:rPr>
      </w:pPr>
    </w:p>
    <w:p w14:paraId="092FC2E4" w14:textId="77777777" w:rsidR="007B15E0" w:rsidRPr="002974BE" w:rsidRDefault="007B15E0" w:rsidP="001D7F2E">
      <w:pPr>
        <w:pStyle w:val="Textoindependiente"/>
        <w:spacing w:before="0" w:after="0" w:line="360" w:lineRule="auto"/>
        <w:jc w:val="both"/>
        <w:rPr>
          <w:rFonts w:cstheme="minorHAnsi"/>
          <w:sz w:val="22"/>
          <w:szCs w:val="22"/>
        </w:rPr>
      </w:pPr>
    </w:p>
    <w:p w14:paraId="085453A9" w14:textId="77777777" w:rsidR="007B15E0" w:rsidRPr="002974BE" w:rsidRDefault="007B15E0" w:rsidP="001D7F2E">
      <w:pPr>
        <w:pStyle w:val="Textoindependiente"/>
        <w:spacing w:before="0" w:after="0" w:line="360" w:lineRule="auto"/>
        <w:jc w:val="both"/>
        <w:rPr>
          <w:rFonts w:cstheme="minorHAnsi"/>
          <w:sz w:val="22"/>
          <w:szCs w:val="22"/>
        </w:rPr>
      </w:pPr>
    </w:p>
    <w:p w14:paraId="261A4207" w14:textId="77777777" w:rsidR="007B15E0" w:rsidRPr="002974BE" w:rsidRDefault="007B15E0" w:rsidP="001D7F2E">
      <w:pPr>
        <w:pStyle w:val="Textoindependiente"/>
        <w:spacing w:before="0" w:after="0" w:line="360" w:lineRule="auto"/>
        <w:jc w:val="both"/>
        <w:rPr>
          <w:rFonts w:cstheme="minorHAnsi"/>
        </w:rPr>
      </w:pPr>
    </w:p>
    <w:sectPr w:rsidR="007B15E0" w:rsidRPr="002974BE">
      <w:pgSz w:w="12240" w:h="15840"/>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LENY SANCHEZ JUSTO" w:date="2022-07-18T16:59:00Z" w:initials="LSJ">
    <w:p w14:paraId="016E6A42" w14:textId="77777777" w:rsidR="00E31094" w:rsidRDefault="00E31094">
      <w:pPr>
        <w:pStyle w:val="Textocomentario"/>
      </w:pPr>
      <w:r>
        <w:rPr>
          <w:rStyle w:val="Refdecomentario"/>
        </w:rPr>
        <w:annotationRef/>
      </w:r>
      <w:r>
        <w:t>La SUIIT lo trabajara</w:t>
      </w:r>
    </w:p>
  </w:comment>
  <w:comment w:id="1" w:author="Julio" w:date="2023-04-28T18:29:00Z" w:initials="J">
    <w:p w14:paraId="7FF105B0" w14:textId="12E35215" w:rsidR="0078619B" w:rsidRDefault="0078619B">
      <w:pPr>
        <w:pStyle w:val="Textocomentario"/>
      </w:pPr>
      <w:r>
        <w:rPr>
          <w:rStyle w:val="Refdecomentario"/>
        </w:rPr>
        <w:annotationRef/>
      </w:r>
      <w:r>
        <w:t>¿????</w:t>
      </w:r>
    </w:p>
  </w:comment>
  <w:comment w:id="2" w:author="Julio" w:date="2023-04-28T18:31:00Z" w:initials="J">
    <w:p w14:paraId="05A36F44" w14:textId="50D7294E" w:rsidR="00CB0698" w:rsidRDefault="00CB0698">
      <w:pPr>
        <w:pStyle w:val="Textocomentario"/>
      </w:pPr>
      <w:r>
        <w:rPr>
          <w:rStyle w:val="Refdecomentario"/>
        </w:rPr>
        <w:annotationRef/>
      </w:r>
      <w:r>
        <w:t>Condideras si esta informacion es relevante</w:t>
      </w:r>
    </w:p>
  </w:comment>
  <w:comment w:id="3" w:author="Julio" w:date="2023-04-28T18:38:00Z" w:initials="J">
    <w:p w14:paraId="7AEF0535" w14:textId="36F2C3C7" w:rsidR="00CB0698" w:rsidRDefault="00CB0698">
      <w:pPr>
        <w:pStyle w:val="Textocomentario"/>
      </w:pPr>
      <w:r>
        <w:rPr>
          <w:rStyle w:val="Refdecomentario"/>
        </w:rPr>
        <w:annotationRef/>
      </w:r>
      <w:r>
        <w:t>Se hace referencia al resultado cuantitativo?????</w:t>
      </w:r>
    </w:p>
  </w:comment>
  <w:comment w:id="4" w:author="Julio" w:date="2023-04-28T18:40:00Z" w:initials="J">
    <w:p w14:paraId="6DE536EB" w14:textId="292B5803" w:rsidR="007C168E" w:rsidRDefault="007C168E">
      <w:pPr>
        <w:pStyle w:val="Textocomentario"/>
      </w:pPr>
      <w:r>
        <w:rPr>
          <w:rStyle w:val="Refdecomentario"/>
        </w:rPr>
        <w:annotationRef/>
      </w:r>
      <w:r>
        <w:t>S, SPIKE O ESPIGA</w:t>
      </w:r>
    </w:p>
  </w:comment>
  <w:comment w:id="5" w:author="Julio" w:date="2023-04-28T18:41:00Z" w:initials="J">
    <w:p w14:paraId="29BC8BDD" w14:textId="07CF8EC1" w:rsidR="007C168E" w:rsidRDefault="007C168E">
      <w:pPr>
        <w:pStyle w:val="Textocomentario"/>
      </w:pPr>
      <w:r>
        <w:rPr>
          <w:rStyle w:val="Refdecomentario"/>
        </w:rPr>
        <w:annotationRef/>
      </w:r>
      <w:r>
        <w:t>Considerar los valores de los anticuerpos para describir el cuadro y poder distutir los resultados-</w:t>
      </w:r>
    </w:p>
  </w:comment>
  <w:comment w:id="6" w:author="Julio" w:date="2023-04-28T18:46:00Z" w:initials="J">
    <w:p w14:paraId="19A1F185" w14:textId="6F4BD1A9" w:rsidR="007C168E" w:rsidRDefault="007C168E">
      <w:pPr>
        <w:pStyle w:val="Textocomentario"/>
      </w:pPr>
      <w:r>
        <w:rPr>
          <w:rStyle w:val="Refdecomentario"/>
        </w:rPr>
        <w:annotationRef/>
      </w:r>
      <w:r>
        <w:t xml:space="preserve">Con los valores cuantitativos podemos ampliar esta discusión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16E6A42" w15:done="0"/>
  <w15:commentEx w15:paraId="7FF105B0" w15:done="0"/>
  <w15:commentEx w15:paraId="05A36F44" w15:done="0"/>
  <w15:commentEx w15:paraId="7AEF0535" w15:done="0"/>
  <w15:commentEx w15:paraId="6DE536EB" w15:done="0"/>
  <w15:commentEx w15:paraId="29BC8BDD" w15:done="0"/>
  <w15:commentEx w15:paraId="19A1F18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16E6A42" w16cid:durableId="27C55522"/>
  <w16cid:commentId w16cid:paraId="7FF105B0" w16cid:durableId="27F69F8B"/>
  <w16cid:commentId w16cid:paraId="05A36F44" w16cid:durableId="27F69F8C"/>
  <w16cid:commentId w16cid:paraId="7AEF0535" w16cid:durableId="27F69F8D"/>
  <w16cid:commentId w16cid:paraId="6DE536EB" w16cid:durableId="27F69F8E"/>
  <w16cid:commentId w16cid:paraId="29BC8BDD" w16cid:durableId="27F69F8F"/>
  <w16cid:commentId w16cid:paraId="19A1F185" w16cid:durableId="27F69F9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B98F37" w14:textId="77777777" w:rsidR="00EB46E8" w:rsidRDefault="00EB46E8">
      <w:pPr>
        <w:spacing w:after="0" w:line="240" w:lineRule="auto"/>
      </w:pPr>
      <w:r>
        <w:separator/>
      </w:r>
    </w:p>
  </w:endnote>
  <w:endnote w:type="continuationSeparator" w:id="0">
    <w:p w14:paraId="27A975CB" w14:textId="77777777" w:rsidR="00EB46E8" w:rsidRDefault="00EB46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8720861"/>
      <w:docPartObj>
        <w:docPartGallery w:val="Page Numbers (Bottom of Page)"/>
        <w:docPartUnique/>
      </w:docPartObj>
    </w:sdtPr>
    <w:sdtContent>
      <w:p w14:paraId="7331E427" w14:textId="61FE92A9" w:rsidR="00E31094" w:rsidRDefault="00E31094">
        <w:pPr>
          <w:pStyle w:val="Piedepgina"/>
          <w:jc w:val="right"/>
        </w:pPr>
        <w:r>
          <w:fldChar w:fldCharType="begin"/>
        </w:r>
        <w:r>
          <w:instrText>PAGE   \* MERGEFORMAT</w:instrText>
        </w:r>
        <w:r>
          <w:fldChar w:fldCharType="separate"/>
        </w:r>
        <w:r w:rsidR="004D18D9" w:rsidRPr="004D18D9">
          <w:rPr>
            <w:noProof/>
            <w:lang w:val="es-ES"/>
          </w:rPr>
          <w:t>12</w:t>
        </w:r>
        <w:r>
          <w:fldChar w:fldCharType="end"/>
        </w:r>
      </w:p>
    </w:sdtContent>
  </w:sdt>
  <w:p w14:paraId="5C0AAB52" w14:textId="77777777" w:rsidR="00E31094" w:rsidRDefault="00E3109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821BDD" w14:textId="77777777" w:rsidR="00E31094" w:rsidRDefault="00E31094">
    <w:pPr>
      <w:pStyle w:val="Piedepgina"/>
      <w:jc w:val="right"/>
    </w:pPr>
  </w:p>
  <w:p w14:paraId="3F73D882" w14:textId="77777777" w:rsidR="00E31094" w:rsidRDefault="00E3109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0E520C" w14:textId="77777777" w:rsidR="00EB46E8" w:rsidRDefault="00EB46E8">
      <w:pPr>
        <w:spacing w:after="0" w:line="240" w:lineRule="auto"/>
      </w:pPr>
      <w:r>
        <w:separator/>
      </w:r>
    </w:p>
  </w:footnote>
  <w:footnote w:type="continuationSeparator" w:id="0">
    <w:p w14:paraId="5CF4F69B" w14:textId="77777777" w:rsidR="00EB46E8" w:rsidRDefault="00EB46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B98B27" w14:textId="77777777" w:rsidR="00E31094" w:rsidRDefault="00E31094" w:rsidP="00FD70E8">
    <w:pPr>
      <w:pStyle w:val="Encabezado"/>
      <w:jc w:val="center"/>
    </w:pPr>
    <w:r>
      <w:rPr>
        <w:noProof/>
        <w:lang w:val="en-US"/>
      </w:rPr>
      <w:drawing>
        <wp:inline distT="0" distB="0" distL="0" distR="0" wp14:anchorId="2389CE45" wp14:editId="78BAED6D">
          <wp:extent cx="5072380" cy="44513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72380" cy="445135"/>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B2BFF" w14:textId="2173C44D" w:rsidR="00E31094" w:rsidRDefault="00E31094">
    <w:pPr>
      <w:pStyle w:val="Encabezado"/>
    </w:pPr>
    <w:r>
      <w:rPr>
        <w:noProof/>
        <w:lang w:val="en-US"/>
      </w:rPr>
      <w:drawing>
        <wp:anchor distT="0" distB="0" distL="114300" distR="114300" simplePos="0" relativeHeight="251658240" behindDoc="1" locked="0" layoutInCell="1" allowOverlap="1" wp14:anchorId="5B9E61C0" wp14:editId="37FA1FD3">
          <wp:simplePos x="0" y="0"/>
          <wp:positionH relativeFrom="column">
            <wp:posOffset>729615</wp:posOffset>
          </wp:positionH>
          <wp:positionV relativeFrom="paragraph">
            <wp:posOffset>-76200</wp:posOffset>
          </wp:positionV>
          <wp:extent cx="5072380" cy="445135"/>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72380" cy="44513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317640"/>
    <w:multiLevelType w:val="hybridMultilevel"/>
    <w:tmpl w:val="E5F69F94"/>
    <w:lvl w:ilvl="0" w:tplc="98C65D04">
      <w:start w:val="1"/>
      <w:numFmt w:val="decimal"/>
      <w:lvlText w:val="%1."/>
      <w:lvlJc w:val="left"/>
      <w:pPr>
        <w:ind w:left="720" w:hanging="360"/>
      </w:pPr>
      <w:rPr>
        <w:rFonts w:hint="default"/>
        <w:b/>
        <w:i/>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ACB2327"/>
    <w:multiLevelType w:val="hybridMultilevel"/>
    <w:tmpl w:val="B330CDE2"/>
    <w:lvl w:ilvl="0" w:tplc="280A0017">
      <w:start w:val="1"/>
      <w:numFmt w:val="low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num w:numId="1" w16cid:durableId="1791586284">
    <w:abstractNumId w:val="1"/>
  </w:num>
  <w:num w:numId="2" w16cid:durableId="74206796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ulio">
    <w15:presenceInfo w15:providerId="Windows Live" w15:userId="cba655fa165a891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5E0"/>
    <w:rsid w:val="00011F52"/>
    <w:rsid w:val="000310F3"/>
    <w:rsid w:val="000330B1"/>
    <w:rsid w:val="000345C6"/>
    <w:rsid w:val="00052BA1"/>
    <w:rsid w:val="000536EC"/>
    <w:rsid w:val="00061628"/>
    <w:rsid w:val="00092CFC"/>
    <w:rsid w:val="00094D03"/>
    <w:rsid w:val="0009636D"/>
    <w:rsid w:val="000A5623"/>
    <w:rsid w:val="000B1487"/>
    <w:rsid w:val="000B509D"/>
    <w:rsid w:val="000C0745"/>
    <w:rsid w:val="000E0EC2"/>
    <w:rsid w:val="000E2E1A"/>
    <w:rsid w:val="000E62A4"/>
    <w:rsid w:val="00100BD3"/>
    <w:rsid w:val="00101BA4"/>
    <w:rsid w:val="00107C0D"/>
    <w:rsid w:val="001132F3"/>
    <w:rsid w:val="00125955"/>
    <w:rsid w:val="00125A05"/>
    <w:rsid w:val="0013179A"/>
    <w:rsid w:val="001345F8"/>
    <w:rsid w:val="00185D54"/>
    <w:rsid w:val="00192037"/>
    <w:rsid w:val="001B2BC3"/>
    <w:rsid w:val="001B6904"/>
    <w:rsid w:val="001C2BBF"/>
    <w:rsid w:val="001C65EE"/>
    <w:rsid w:val="001D7F2E"/>
    <w:rsid w:val="001E5270"/>
    <w:rsid w:val="001F056C"/>
    <w:rsid w:val="001F5CE1"/>
    <w:rsid w:val="002224EE"/>
    <w:rsid w:val="00227774"/>
    <w:rsid w:val="00230E9E"/>
    <w:rsid w:val="00234B11"/>
    <w:rsid w:val="00265B5A"/>
    <w:rsid w:val="002900AD"/>
    <w:rsid w:val="002974BE"/>
    <w:rsid w:val="002A15B3"/>
    <w:rsid w:val="002B65E3"/>
    <w:rsid w:val="002D569B"/>
    <w:rsid w:val="002E0FEC"/>
    <w:rsid w:val="003328D2"/>
    <w:rsid w:val="003659F6"/>
    <w:rsid w:val="00372E0B"/>
    <w:rsid w:val="00383E19"/>
    <w:rsid w:val="003863FF"/>
    <w:rsid w:val="003B037B"/>
    <w:rsid w:val="003C3B63"/>
    <w:rsid w:val="003C6FDD"/>
    <w:rsid w:val="003E041A"/>
    <w:rsid w:val="003E51B7"/>
    <w:rsid w:val="003F049C"/>
    <w:rsid w:val="003F2A84"/>
    <w:rsid w:val="00407DED"/>
    <w:rsid w:val="00410B40"/>
    <w:rsid w:val="00412FF3"/>
    <w:rsid w:val="004379F7"/>
    <w:rsid w:val="0045468D"/>
    <w:rsid w:val="004779C7"/>
    <w:rsid w:val="00490D8D"/>
    <w:rsid w:val="004A15C3"/>
    <w:rsid w:val="004B7B2E"/>
    <w:rsid w:val="004C018B"/>
    <w:rsid w:val="004C3A70"/>
    <w:rsid w:val="004D01B9"/>
    <w:rsid w:val="004D18D9"/>
    <w:rsid w:val="004F74F9"/>
    <w:rsid w:val="005150F4"/>
    <w:rsid w:val="0051531C"/>
    <w:rsid w:val="00517E3C"/>
    <w:rsid w:val="00556257"/>
    <w:rsid w:val="0059295D"/>
    <w:rsid w:val="005C7944"/>
    <w:rsid w:val="005D6476"/>
    <w:rsid w:val="005F269C"/>
    <w:rsid w:val="005F28DF"/>
    <w:rsid w:val="005F6FCB"/>
    <w:rsid w:val="006115F6"/>
    <w:rsid w:val="006123B0"/>
    <w:rsid w:val="00613F21"/>
    <w:rsid w:val="00632814"/>
    <w:rsid w:val="00643E2C"/>
    <w:rsid w:val="00657751"/>
    <w:rsid w:val="006816EC"/>
    <w:rsid w:val="00687025"/>
    <w:rsid w:val="006924B4"/>
    <w:rsid w:val="006962E8"/>
    <w:rsid w:val="006A0798"/>
    <w:rsid w:val="006A3B7B"/>
    <w:rsid w:val="006A7F9E"/>
    <w:rsid w:val="006B4F63"/>
    <w:rsid w:val="006B7D9E"/>
    <w:rsid w:val="006C1E2A"/>
    <w:rsid w:val="006C1EED"/>
    <w:rsid w:val="006D55EC"/>
    <w:rsid w:val="006F7157"/>
    <w:rsid w:val="007172EB"/>
    <w:rsid w:val="00731688"/>
    <w:rsid w:val="00736408"/>
    <w:rsid w:val="00736B85"/>
    <w:rsid w:val="007372EA"/>
    <w:rsid w:val="0073795E"/>
    <w:rsid w:val="00752540"/>
    <w:rsid w:val="00753164"/>
    <w:rsid w:val="00760A99"/>
    <w:rsid w:val="00772626"/>
    <w:rsid w:val="0078619B"/>
    <w:rsid w:val="00793FA2"/>
    <w:rsid w:val="007B15E0"/>
    <w:rsid w:val="007B3DEE"/>
    <w:rsid w:val="007B4BFD"/>
    <w:rsid w:val="007C168E"/>
    <w:rsid w:val="007C76F2"/>
    <w:rsid w:val="007D2607"/>
    <w:rsid w:val="007D33D9"/>
    <w:rsid w:val="007E07F2"/>
    <w:rsid w:val="007E1593"/>
    <w:rsid w:val="007F140C"/>
    <w:rsid w:val="007F1C80"/>
    <w:rsid w:val="008001E9"/>
    <w:rsid w:val="008155AA"/>
    <w:rsid w:val="00822082"/>
    <w:rsid w:val="00831BD0"/>
    <w:rsid w:val="00832D8E"/>
    <w:rsid w:val="00846813"/>
    <w:rsid w:val="00857524"/>
    <w:rsid w:val="00866738"/>
    <w:rsid w:val="008B3279"/>
    <w:rsid w:val="008C1662"/>
    <w:rsid w:val="008D3CEF"/>
    <w:rsid w:val="009023AB"/>
    <w:rsid w:val="00907E71"/>
    <w:rsid w:val="009320DD"/>
    <w:rsid w:val="00956DDE"/>
    <w:rsid w:val="00970308"/>
    <w:rsid w:val="009835C4"/>
    <w:rsid w:val="009845F5"/>
    <w:rsid w:val="0099016E"/>
    <w:rsid w:val="0099018F"/>
    <w:rsid w:val="00990DAE"/>
    <w:rsid w:val="009C5D1D"/>
    <w:rsid w:val="009C67AF"/>
    <w:rsid w:val="009D3EDA"/>
    <w:rsid w:val="009D4B7C"/>
    <w:rsid w:val="009D4F63"/>
    <w:rsid w:val="009F1369"/>
    <w:rsid w:val="00A005E5"/>
    <w:rsid w:val="00A008C6"/>
    <w:rsid w:val="00A04E6A"/>
    <w:rsid w:val="00A1304B"/>
    <w:rsid w:val="00A15A87"/>
    <w:rsid w:val="00A41A66"/>
    <w:rsid w:val="00A43A01"/>
    <w:rsid w:val="00A602F0"/>
    <w:rsid w:val="00A645FF"/>
    <w:rsid w:val="00A656C5"/>
    <w:rsid w:val="00A71501"/>
    <w:rsid w:val="00A852CA"/>
    <w:rsid w:val="00A9157D"/>
    <w:rsid w:val="00A94F0C"/>
    <w:rsid w:val="00AA291C"/>
    <w:rsid w:val="00AA7D84"/>
    <w:rsid w:val="00AB1B8E"/>
    <w:rsid w:val="00AC56B8"/>
    <w:rsid w:val="00AD4DE5"/>
    <w:rsid w:val="00AE69F3"/>
    <w:rsid w:val="00AF7676"/>
    <w:rsid w:val="00B165D1"/>
    <w:rsid w:val="00B2638D"/>
    <w:rsid w:val="00B274CE"/>
    <w:rsid w:val="00B36FE0"/>
    <w:rsid w:val="00B41965"/>
    <w:rsid w:val="00B546E5"/>
    <w:rsid w:val="00B76E60"/>
    <w:rsid w:val="00B9345A"/>
    <w:rsid w:val="00BB5F90"/>
    <w:rsid w:val="00BB6D06"/>
    <w:rsid w:val="00BD45F9"/>
    <w:rsid w:val="00BE1BC2"/>
    <w:rsid w:val="00BE539D"/>
    <w:rsid w:val="00BE596F"/>
    <w:rsid w:val="00BF712E"/>
    <w:rsid w:val="00C15467"/>
    <w:rsid w:val="00C21284"/>
    <w:rsid w:val="00C26A5C"/>
    <w:rsid w:val="00C26BDD"/>
    <w:rsid w:val="00C43A2A"/>
    <w:rsid w:val="00C91AE4"/>
    <w:rsid w:val="00C96B9F"/>
    <w:rsid w:val="00CA2AC1"/>
    <w:rsid w:val="00CB0698"/>
    <w:rsid w:val="00D02BA4"/>
    <w:rsid w:val="00D04416"/>
    <w:rsid w:val="00D10913"/>
    <w:rsid w:val="00D141BB"/>
    <w:rsid w:val="00D15BB2"/>
    <w:rsid w:val="00D1712A"/>
    <w:rsid w:val="00D214F1"/>
    <w:rsid w:val="00D25337"/>
    <w:rsid w:val="00D31AB3"/>
    <w:rsid w:val="00D32177"/>
    <w:rsid w:val="00D44C23"/>
    <w:rsid w:val="00D46928"/>
    <w:rsid w:val="00D525A4"/>
    <w:rsid w:val="00D5386F"/>
    <w:rsid w:val="00D674D1"/>
    <w:rsid w:val="00D77594"/>
    <w:rsid w:val="00DC3E27"/>
    <w:rsid w:val="00DD21A3"/>
    <w:rsid w:val="00DD7EBD"/>
    <w:rsid w:val="00DE1DE5"/>
    <w:rsid w:val="00DE4D3B"/>
    <w:rsid w:val="00DF0AFC"/>
    <w:rsid w:val="00DF51C9"/>
    <w:rsid w:val="00DF528D"/>
    <w:rsid w:val="00DF6001"/>
    <w:rsid w:val="00E31094"/>
    <w:rsid w:val="00E450AA"/>
    <w:rsid w:val="00E5116A"/>
    <w:rsid w:val="00E57D2C"/>
    <w:rsid w:val="00E6057B"/>
    <w:rsid w:val="00E959EA"/>
    <w:rsid w:val="00EA2782"/>
    <w:rsid w:val="00EB46E8"/>
    <w:rsid w:val="00ED0E29"/>
    <w:rsid w:val="00ED1AFA"/>
    <w:rsid w:val="00ED4531"/>
    <w:rsid w:val="00F23B2E"/>
    <w:rsid w:val="00F27A3C"/>
    <w:rsid w:val="00F354E8"/>
    <w:rsid w:val="00F45972"/>
    <w:rsid w:val="00F65B0A"/>
    <w:rsid w:val="00F84E13"/>
    <w:rsid w:val="00F92AF2"/>
    <w:rsid w:val="00F97065"/>
    <w:rsid w:val="00FB2219"/>
    <w:rsid w:val="00FC3972"/>
    <w:rsid w:val="00FC6D3D"/>
    <w:rsid w:val="00FD70E8"/>
    <w:rsid w:val="00FE0190"/>
    <w:rsid w:val="00FF1167"/>
    <w:rsid w:val="00FF2559"/>
    <w:rsid w:val="00FF6A6F"/>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B06D21"/>
  <w15:docId w15:val="{79B84EED-9548-490D-841E-467DA6E60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qFormat/>
    <w:rsid w:val="007B15E0"/>
    <w:pPr>
      <w:spacing w:before="180" w:after="180" w:line="240" w:lineRule="auto"/>
    </w:pPr>
    <w:rPr>
      <w:sz w:val="24"/>
      <w:szCs w:val="24"/>
    </w:rPr>
  </w:style>
  <w:style w:type="character" w:customStyle="1" w:styleId="TextoindependienteCar">
    <w:name w:val="Texto independiente Car"/>
    <w:basedOn w:val="Fuentedeprrafopredeter"/>
    <w:link w:val="Textoindependiente"/>
    <w:rsid w:val="007B15E0"/>
    <w:rPr>
      <w:sz w:val="24"/>
      <w:szCs w:val="24"/>
    </w:rPr>
  </w:style>
  <w:style w:type="paragraph" w:styleId="Prrafodelista">
    <w:name w:val="List Paragraph"/>
    <w:basedOn w:val="Normal"/>
    <w:link w:val="PrrafodelistaCar"/>
    <w:uiPriority w:val="34"/>
    <w:qFormat/>
    <w:rsid w:val="007B15E0"/>
    <w:pPr>
      <w:spacing w:line="240" w:lineRule="auto"/>
      <w:ind w:left="720"/>
      <w:contextualSpacing/>
    </w:pPr>
    <w:rPr>
      <w:sz w:val="24"/>
      <w:szCs w:val="24"/>
    </w:rPr>
  </w:style>
  <w:style w:type="paragraph" w:styleId="Encabezado">
    <w:name w:val="header"/>
    <w:basedOn w:val="Normal"/>
    <w:link w:val="EncabezadoCar"/>
    <w:unhideWhenUsed/>
    <w:rsid w:val="007B15E0"/>
    <w:pPr>
      <w:tabs>
        <w:tab w:val="center" w:pos="4419"/>
        <w:tab w:val="right" w:pos="8838"/>
      </w:tabs>
      <w:spacing w:after="0" w:line="240" w:lineRule="auto"/>
    </w:pPr>
    <w:rPr>
      <w:sz w:val="24"/>
      <w:szCs w:val="24"/>
    </w:rPr>
  </w:style>
  <w:style w:type="character" w:customStyle="1" w:styleId="EncabezadoCar">
    <w:name w:val="Encabezado Car"/>
    <w:basedOn w:val="Fuentedeprrafopredeter"/>
    <w:link w:val="Encabezado"/>
    <w:rsid w:val="007B15E0"/>
    <w:rPr>
      <w:sz w:val="24"/>
      <w:szCs w:val="24"/>
    </w:rPr>
  </w:style>
  <w:style w:type="paragraph" w:styleId="Piedepgina">
    <w:name w:val="footer"/>
    <w:basedOn w:val="Normal"/>
    <w:link w:val="PiedepginaCar"/>
    <w:uiPriority w:val="99"/>
    <w:unhideWhenUsed/>
    <w:rsid w:val="007B15E0"/>
    <w:pPr>
      <w:tabs>
        <w:tab w:val="center" w:pos="4419"/>
        <w:tab w:val="right" w:pos="8838"/>
      </w:tabs>
      <w:spacing w:after="0" w:line="240" w:lineRule="auto"/>
    </w:pPr>
    <w:rPr>
      <w:sz w:val="24"/>
      <w:szCs w:val="24"/>
    </w:rPr>
  </w:style>
  <w:style w:type="character" w:customStyle="1" w:styleId="PiedepginaCar">
    <w:name w:val="Pie de página Car"/>
    <w:basedOn w:val="Fuentedeprrafopredeter"/>
    <w:link w:val="Piedepgina"/>
    <w:uiPriority w:val="99"/>
    <w:rsid w:val="007B15E0"/>
    <w:rPr>
      <w:sz w:val="24"/>
      <w:szCs w:val="24"/>
    </w:rPr>
  </w:style>
  <w:style w:type="character" w:customStyle="1" w:styleId="PrrafodelistaCar">
    <w:name w:val="Párrafo de lista Car"/>
    <w:link w:val="Prrafodelista"/>
    <w:uiPriority w:val="34"/>
    <w:qFormat/>
    <w:locked/>
    <w:rsid w:val="007B15E0"/>
    <w:rPr>
      <w:sz w:val="24"/>
      <w:szCs w:val="24"/>
    </w:rPr>
  </w:style>
  <w:style w:type="paragraph" w:styleId="Textodeglobo">
    <w:name w:val="Balloon Text"/>
    <w:basedOn w:val="Normal"/>
    <w:link w:val="TextodegloboCar"/>
    <w:uiPriority w:val="99"/>
    <w:semiHidden/>
    <w:unhideWhenUsed/>
    <w:rsid w:val="007B15E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B15E0"/>
    <w:rPr>
      <w:rFonts w:ascii="Tahoma" w:hAnsi="Tahoma" w:cs="Tahoma"/>
      <w:sz w:val="16"/>
      <w:szCs w:val="16"/>
    </w:rPr>
  </w:style>
  <w:style w:type="character" w:styleId="Refdecomentario">
    <w:name w:val="annotation reference"/>
    <w:basedOn w:val="Fuentedeprrafopredeter"/>
    <w:uiPriority w:val="99"/>
    <w:semiHidden/>
    <w:unhideWhenUsed/>
    <w:rsid w:val="00D1712A"/>
    <w:rPr>
      <w:sz w:val="16"/>
      <w:szCs w:val="16"/>
    </w:rPr>
  </w:style>
  <w:style w:type="paragraph" w:styleId="Textocomentario">
    <w:name w:val="annotation text"/>
    <w:basedOn w:val="Normal"/>
    <w:link w:val="TextocomentarioCar"/>
    <w:uiPriority w:val="99"/>
    <w:semiHidden/>
    <w:unhideWhenUsed/>
    <w:rsid w:val="00D1712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1712A"/>
    <w:rPr>
      <w:sz w:val="20"/>
      <w:szCs w:val="20"/>
    </w:rPr>
  </w:style>
  <w:style w:type="paragraph" w:styleId="Asuntodelcomentario">
    <w:name w:val="annotation subject"/>
    <w:basedOn w:val="Textocomentario"/>
    <w:next w:val="Textocomentario"/>
    <w:link w:val="AsuntodelcomentarioCar"/>
    <w:uiPriority w:val="99"/>
    <w:semiHidden/>
    <w:unhideWhenUsed/>
    <w:rsid w:val="00D1712A"/>
    <w:rPr>
      <w:b/>
      <w:bCs/>
    </w:rPr>
  </w:style>
  <w:style w:type="character" w:customStyle="1" w:styleId="AsuntodelcomentarioCar">
    <w:name w:val="Asunto del comentario Car"/>
    <w:basedOn w:val="TextocomentarioCar"/>
    <w:link w:val="Asuntodelcomentario"/>
    <w:uiPriority w:val="99"/>
    <w:semiHidden/>
    <w:rsid w:val="00D1712A"/>
    <w:rPr>
      <w:b/>
      <w:bCs/>
      <w:sz w:val="20"/>
      <w:szCs w:val="20"/>
    </w:rPr>
  </w:style>
  <w:style w:type="paragraph" w:styleId="NormalWeb">
    <w:name w:val="Normal (Web)"/>
    <w:basedOn w:val="Normal"/>
    <w:uiPriority w:val="99"/>
    <w:semiHidden/>
    <w:unhideWhenUsed/>
    <w:rsid w:val="004379F7"/>
    <w:pPr>
      <w:spacing w:before="100" w:beforeAutospacing="1" w:after="100" w:afterAutospacing="1" w:line="240" w:lineRule="auto"/>
    </w:pPr>
    <w:rPr>
      <w:rFonts w:ascii="Times New Roman" w:eastAsia="Times New Roman" w:hAnsi="Times New Roman" w:cs="Times New Roman"/>
      <w:sz w:val="24"/>
      <w:szCs w:val="24"/>
      <w:lang w:eastAsia="es-PE"/>
    </w:rPr>
  </w:style>
  <w:style w:type="character" w:styleId="Hipervnculo">
    <w:name w:val="Hyperlink"/>
    <w:basedOn w:val="Fuentedeprrafopredeter"/>
    <w:uiPriority w:val="99"/>
    <w:unhideWhenUsed/>
    <w:rsid w:val="00234B11"/>
    <w:rPr>
      <w:color w:val="0000FF" w:themeColor="hyperlink"/>
      <w:u w:val="single"/>
    </w:rPr>
  </w:style>
  <w:style w:type="character" w:styleId="Hipervnculovisitado">
    <w:name w:val="FollowedHyperlink"/>
    <w:basedOn w:val="Fuentedeprrafopredeter"/>
    <w:uiPriority w:val="99"/>
    <w:semiHidden/>
    <w:unhideWhenUsed/>
    <w:rsid w:val="003F049C"/>
    <w:rPr>
      <w:color w:val="800080" w:themeColor="followedHyperlink"/>
      <w:u w:val="single"/>
    </w:rPr>
  </w:style>
  <w:style w:type="paragraph" w:styleId="Bibliografa">
    <w:name w:val="Bibliography"/>
    <w:basedOn w:val="Normal"/>
    <w:next w:val="Normal"/>
    <w:uiPriority w:val="37"/>
    <w:unhideWhenUsed/>
    <w:rsid w:val="00D525A4"/>
    <w:pPr>
      <w:tabs>
        <w:tab w:val="left" w:pos="384"/>
      </w:tabs>
      <w:spacing w:after="240" w:line="240" w:lineRule="auto"/>
      <w:ind w:left="384" w:hanging="3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5368665">
      <w:bodyDiv w:val="1"/>
      <w:marLeft w:val="0"/>
      <w:marRight w:val="0"/>
      <w:marTop w:val="0"/>
      <w:marBottom w:val="0"/>
      <w:divBdr>
        <w:top w:val="none" w:sz="0" w:space="0" w:color="auto"/>
        <w:left w:val="none" w:sz="0" w:space="0" w:color="auto"/>
        <w:bottom w:val="none" w:sz="0" w:space="0" w:color="auto"/>
        <w:right w:val="none" w:sz="0" w:space="0" w:color="auto"/>
      </w:divBdr>
    </w:div>
    <w:div w:id="916399648">
      <w:bodyDiv w:val="1"/>
      <w:marLeft w:val="0"/>
      <w:marRight w:val="0"/>
      <w:marTop w:val="0"/>
      <w:marBottom w:val="0"/>
      <w:divBdr>
        <w:top w:val="none" w:sz="0" w:space="0" w:color="auto"/>
        <w:left w:val="none" w:sz="0" w:space="0" w:color="auto"/>
        <w:bottom w:val="none" w:sz="0" w:space="0" w:color="auto"/>
        <w:right w:val="none" w:sz="0" w:space="0" w:color="auto"/>
      </w:divBdr>
    </w:div>
    <w:div w:id="1141341910">
      <w:bodyDiv w:val="1"/>
      <w:marLeft w:val="0"/>
      <w:marRight w:val="0"/>
      <w:marTop w:val="0"/>
      <w:marBottom w:val="0"/>
      <w:divBdr>
        <w:top w:val="none" w:sz="0" w:space="0" w:color="auto"/>
        <w:left w:val="none" w:sz="0" w:space="0" w:color="auto"/>
        <w:bottom w:val="none" w:sz="0" w:space="0" w:color="auto"/>
        <w:right w:val="none" w:sz="0" w:space="0" w:color="auto"/>
      </w:divBdr>
    </w:div>
    <w:div w:id="1776512025">
      <w:bodyDiv w:val="1"/>
      <w:marLeft w:val="0"/>
      <w:marRight w:val="0"/>
      <w:marTop w:val="0"/>
      <w:marBottom w:val="0"/>
      <w:divBdr>
        <w:top w:val="none" w:sz="0" w:space="0" w:color="auto"/>
        <w:left w:val="none" w:sz="0" w:space="0" w:color="auto"/>
        <w:bottom w:val="none" w:sz="0" w:space="0" w:color="auto"/>
        <w:right w:val="none" w:sz="0" w:space="0" w:color="auto"/>
      </w:divBdr>
      <w:divsChild>
        <w:div w:id="84229360">
          <w:marLeft w:val="0"/>
          <w:marRight w:val="0"/>
          <w:marTop w:val="200"/>
          <w:marBottom w:val="200"/>
          <w:divBdr>
            <w:top w:val="none" w:sz="0" w:space="0" w:color="auto"/>
            <w:left w:val="none" w:sz="0" w:space="0" w:color="auto"/>
            <w:bottom w:val="none" w:sz="0" w:space="0" w:color="auto"/>
            <w:right w:val="none" w:sz="0" w:space="0" w:color="auto"/>
          </w:divBdr>
        </w:div>
        <w:div w:id="1752461927">
          <w:marLeft w:val="0"/>
          <w:marRight w:val="0"/>
          <w:marTop w:val="200"/>
          <w:marBottom w:val="200"/>
          <w:divBdr>
            <w:top w:val="none" w:sz="0" w:space="0" w:color="auto"/>
            <w:left w:val="none" w:sz="0" w:space="0" w:color="auto"/>
            <w:bottom w:val="none" w:sz="0" w:space="0" w:color="auto"/>
            <w:right w:val="none" w:sz="0" w:space="0" w:color="auto"/>
          </w:divBdr>
        </w:div>
        <w:div w:id="354160336">
          <w:marLeft w:val="0"/>
          <w:marRight w:val="0"/>
          <w:marTop w:val="200"/>
          <w:marBottom w:val="200"/>
          <w:divBdr>
            <w:top w:val="none" w:sz="0" w:space="0" w:color="auto"/>
            <w:left w:val="none" w:sz="0" w:space="0" w:color="auto"/>
            <w:bottom w:val="none" w:sz="0" w:space="0" w:color="auto"/>
            <w:right w:val="none" w:sz="0" w:space="0" w:color="auto"/>
          </w:divBdr>
        </w:div>
        <w:div w:id="1058284095">
          <w:marLeft w:val="0"/>
          <w:marRight w:val="0"/>
          <w:marTop w:val="200"/>
          <w:marBottom w:val="200"/>
          <w:divBdr>
            <w:top w:val="none" w:sz="0" w:space="0" w:color="auto"/>
            <w:left w:val="none" w:sz="0" w:space="0" w:color="auto"/>
            <w:bottom w:val="none" w:sz="0" w:space="0" w:color="auto"/>
            <w:right w:val="none" w:sz="0" w:space="0" w:color="auto"/>
          </w:divBdr>
        </w:div>
        <w:div w:id="1598827501">
          <w:marLeft w:val="0"/>
          <w:marRight w:val="0"/>
          <w:marTop w:val="200"/>
          <w:marBottom w:val="200"/>
          <w:divBdr>
            <w:top w:val="none" w:sz="0" w:space="0" w:color="auto"/>
            <w:left w:val="none" w:sz="0" w:space="0" w:color="auto"/>
            <w:bottom w:val="none" w:sz="0" w:space="0" w:color="auto"/>
            <w:right w:val="none" w:sz="0" w:space="0" w:color="auto"/>
          </w:divBdr>
        </w:div>
        <w:div w:id="1221750691">
          <w:marLeft w:val="0"/>
          <w:marRight w:val="0"/>
          <w:marTop w:val="200"/>
          <w:marBottom w:val="200"/>
          <w:divBdr>
            <w:top w:val="none" w:sz="0" w:space="0" w:color="auto"/>
            <w:left w:val="none" w:sz="0" w:space="0" w:color="auto"/>
            <w:bottom w:val="none" w:sz="0" w:space="0" w:color="auto"/>
            <w:right w:val="none" w:sz="0" w:space="0" w:color="auto"/>
          </w:divBdr>
        </w:div>
        <w:div w:id="1509100562">
          <w:marLeft w:val="0"/>
          <w:marRight w:val="0"/>
          <w:marTop w:val="200"/>
          <w:marBottom w:val="200"/>
          <w:divBdr>
            <w:top w:val="none" w:sz="0" w:space="0" w:color="auto"/>
            <w:left w:val="none" w:sz="0" w:space="0" w:color="auto"/>
            <w:bottom w:val="none" w:sz="0" w:space="0" w:color="auto"/>
            <w:right w:val="none" w:sz="0" w:space="0" w:color="auto"/>
          </w:divBdr>
        </w:div>
        <w:div w:id="640040714">
          <w:marLeft w:val="0"/>
          <w:marRight w:val="0"/>
          <w:marTop w:val="200"/>
          <w:marBottom w:val="200"/>
          <w:divBdr>
            <w:top w:val="none" w:sz="0" w:space="0" w:color="auto"/>
            <w:left w:val="none" w:sz="0" w:space="0" w:color="auto"/>
            <w:bottom w:val="none" w:sz="0" w:space="0" w:color="auto"/>
            <w:right w:val="none" w:sz="0" w:space="0" w:color="auto"/>
          </w:divBdr>
        </w:div>
        <w:div w:id="97482032">
          <w:marLeft w:val="0"/>
          <w:marRight w:val="0"/>
          <w:marTop w:val="200"/>
          <w:marBottom w:val="200"/>
          <w:divBdr>
            <w:top w:val="none" w:sz="0" w:space="0" w:color="auto"/>
            <w:left w:val="none" w:sz="0" w:space="0" w:color="auto"/>
            <w:bottom w:val="none" w:sz="0" w:space="0" w:color="auto"/>
            <w:right w:val="none" w:sz="0" w:space="0" w:color="auto"/>
          </w:divBdr>
        </w:div>
      </w:divsChild>
    </w:div>
    <w:div w:id="1799100509">
      <w:bodyDiv w:val="1"/>
      <w:marLeft w:val="0"/>
      <w:marRight w:val="0"/>
      <w:marTop w:val="0"/>
      <w:marBottom w:val="0"/>
      <w:divBdr>
        <w:top w:val="none" w:sz="0" w:space="0" w:color="auto"/>
        <w:left w:val="none" w:sz="0" w:space="0" w:color="auto"/>
        <w:bottom w:val="none" w:sz="0" w:space="0" w:color="auto"/>
        <w:right w:val="none" w:sz="0" w:space="0" w:color="auto"/>
      </w:divBdr>
    </w:div>
    <w:div w:id="1892841571">
      <w:bodyDiv w:val="1"/>
      <w:marLeft w:val="0"/>
      <w:marRight w:val="0"/>
      <w:marTop w:val="0"/>
      <w:marBottom w:val="0"/>
      <w:divBdr>
        <w:top w:val="none" w:sz="0" w:space="0" w:color="auto"/>
        <w:left w:val="none" w:sz="0" w:space="0" w:color="auto"/>
        <w:bottom w:val="none" w:sz="0" w:space="0" w:color="auto"/>
        <w:right w:val="none" w:sz="0" w:space="0" w:color="auto"/>
      </w:divBdr>
    </w:div>
    <w:div w:id="1998877918">
      <w:bodyDiv w:val="1"/>
      <w:marLeft w:val="0"/>
      <w:marRight w:val="0"/>
      <w:marTop w:val="0"/>
      <w:marBottom w:val="0"/>
      <w:divBdr>
        <w:top w:val="none" w:sz="0" w:space="0" w:color="auto"/>
        <w:left w:val="none" w:sz="0" w:space="0" w:color="auto"/>
        <w:bottom w:val="none" w:sz="0" w:space="0" w:color="auto"/>
        <w:right w:val="none" w:sz="0" w:space="0" w:color="auto"/>
      </w:divBdr>
    </w:div>
    <w:div w:id="1999310014">
      <w:bodyDiv w:val="1"/>
      <w:marLeft w:val="0"/>
      <w:marRight w:val="0"/>
      <w:marTop w:val="0"/>
      <w:marBottom w:val="0"/>
      <w:divBdr>
        <w:top w:val="none" w:sz="0" w:space="0" w:color="auto"/>
        <w:left w:val="none" w:sz="0" w:space="0" w:color="auto"/>
        <w:bottom w:val="none" w:sz="0" w:space="0" w:color="auto"/>
        <w:right w:val="none" w:sz="0" w:space="0" w:color="auto"/>
      </w:divBdr>
    </w:div>
    <w:div w:id="2075811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comments" Target="comments.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17" Type="http://schemas.openxmlformats.org/officeDocument/2006/relationships/image" Target="media/image5.emf"/><Relationship Id="rId2" Type="http://schemas.openxmlformats.org/officeDocument/2006/relationships/styles" Target="styles.xml"/><Relationship Id="rId16" Type="http://schemas.openxmlformats.org/officeDocument/2006/relationships/image" Target="media/image4.emf"/><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microsoft.com/office/2016/09/relationships/commentsIds" Target="commentsIds.xml"/><Relationship Id="rId10" Type="http://schemas.openxmlformats.org/officeDocument/2006/relationships/footer" Target="footer1.xml"/><Relationship Id="rId19" Type="http://schemas.microsoft.com/office/2011/relationships/people" Target="people.xml"/><Relationship Id="rId4" Type="http://schemas.openxmlformats.org/officeDocument/2006/relationships/webSettings" Target="webSettings.xml"/><Relationship Id="rId9" Type="http://schemas.openxmlformats.org/officeDocument/2006/relationships/header" Target="header1.xml"/><Relationship Id="rId14" Type="http://schemas.microsoft.com/office/2011/relationships/commentsExtended" Target="commentsExtended.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17</Pages>
  <Words>21077</Words>
  <Characters>115928</Characters>
  <Application>Microsoft Office Word</Application>
  <DocSecurity>0</DocSecurity>
  <Lines>966</Lines>
  <Paragraphs>273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136732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LENY SANCHEZ JUSTO</dc:creator>
  <cp:lastModifiedBy>Helen Morales Miranda</cp:lastModifiedBy>
  <cp:revision>3</cp:revision>
  <dcterms:created xsi:type="dcterms:W3CDTF">2023-04-29T00:07:00Z</dcterms:created>
  <dcterms:modified xsi:type="dcterms:W3CDTF">2023-04-29T00:43:00Z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id="XhEUmaGg"/&gt;&lt;style id="http://www.zotero.org/styles/vancouver" locale="es-ES" hasBibliography="1" bibliographyStyleHasBeenSet="1"/&gt;&lt;prefs&gt;&lt;pref name="fieldType" value="Field"/&gt;&lt;pref name="automati</vt:lpwstr>
  </property>
  <property fmtid="{D5CDD505-2E9C-101B-9397-08002B2CF9AE}" pid="3" name="ZOTERO_PREF_2">
    <vt:lpwstr>cJournalAbbreviations" value="true"/&gt;&lt;/prefs&gt;&lt;/data&gt;</vt:lpwstr>
  </property>
</Properties>
</file>