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217614" w14:textId="77777777" w:rsidR="00ED679E" w:rsidRPr="00ED679E" w:rsidRDefault="00ED679E" w:rsidP="00ED679E">
      <w:pPr>
        <w:pStyle w:val="NormalWeb"/>
        <w:spacing w:before="0" w:beforeAutospacing="0" w:after="0" w:afterAutospacing="0"/>
        <w:rPr>
          <w:lang w:val="en-US"/>
        </w:rPr>
      </w:pPr>
      <w:r w:rsidRPr="00ED679E">
        <w:rPr>
          <w:rFonts w:ascii="Arial" w:hAnsi="Arial" w:cs="Arial"/>
          <w:color w:val="000000"/>
          <w:sz w:val="22"/>
          <w:szCs w:val="22"/>
          <w:lang w:val="en-US"/>
        </w:rPr>
        <w:t>DISCUSIÓN</w:t>
      </w:r>
    </w:p>
    <w:p w14:paraId="1CBB897A" w14:textId="77777777" w:rsidR="00ED679E" w:rsidRPr="00ED679E" w:rsidRDefault="00ED679E" w:rsidP="00ED679E">
      <w:pPr>
        <w:pStyle w:val="NormalWeb"/>
        <w:shd w:val="clear" w:color="auto" w:fill="FFFFFF"/>
        <w:spacing w:before="0" w:beforeAutospacing="0" w:after="0" w:afterAutospacing="0"/>
        <w:rPr>
          <w:lang w:val="en-US"/>
        </w:rPr>
      </w:pPr>
      <w:r w:rsidRPr="00ED679E">
        <w:rPr>
          <w:rFonts w:ascii="Merriweather" w:hAnsi="Merriweather"/>
          <w:b/>
          <w:bCs/>
          <w:color w:val="212121"/>
          <w:sz w:val="48"/>
          <w:szCs w:val="48"/>
          <w:lang w:val="en-US"/>
        </w:rPr>
        <w:t xml:space="preserve">Safety and immunogenicity of the ChAdOx1 nCoV-19 vaccine against SARS-CoV-2: a preliminary report of a phase 1/2, single-blind, </w:t>
      </w:r>
      <w:proofErr w:type="spellStart"/>
      <w:r w:rsidRPr="00ED679E">
        <w:rPr>
          <w:rFonts w:ascii="Merriweather" w:hAnsi="Merriweather"/>
          <w:b/>
          <w:bCs/>
          <w:color w:val="212121"/>
          <w:sz w:val="48"/>
          <w:szCs w:val="48"/>
          <w:lang w:val="en-US"/>
        </w:rPr>
        <w:t>randomised</w:t>
      </w:r>
      <w:proofErr w:type="spellEnd"/>
      <w:r w:rsidRPr="00ED679E">
        <w:rPr>
          <w:rFonts w:ascii="Merriweather" w:hAnsi="Merriweather"/>
          <w:b/>
          <w:bCs/>
          <w:color w:val="212121"/>
          <w:sz w:val="48"/>
          <w:szCs w:val="48"/>
          <w:lang w:val="en-US"/>
        </w:rPr>
        <w:t xml:space="preserve"> controlled </w:t>
      </w:r>
      <w:proofErr w:type="gramStart"/>
      <w:r w:rsidRPr="00ED679E">
        <w:rPr>
          <w:rFonts w:ascii="Merriweather" w:hAnsi="Merriweather"/>
          <w:b/>
          <w:bCs/>
          <w:color w:val="212121"/>
          <w:sz w:val="48"/>
          <w:szCs w:val="48"/>
          <w:lang w:val="en-US"/>
        </w:rPr>
        <w:t>trial</w:t>
      </w:r>
      <w:proofErr w:type="gramEnd"/>
    </w:p>
    <w:p w14:paraId="6195D59B" w14:textId="77777777" w:rsidR="00ED679E" w:rsidRPr="00ED679E" w:rsidRDefault="00ED679E" w:rsidP="00ED679E">
      <w:pPr>
        <w:pStyle w:val="NormalWeb"/>
        <w:spacing w:before="240" w:beforeAutospacing="0" w:after="240" w:afterAutospacing="0"/>
        <w:rPr>
          <w:lang w:val="en-US"/>
        </w:rPr>
      </w:pPr>
      <w:hyperlink r:id="rId4" w:history="1">
        <w:r w:rsidRPr="00ED679E">
          <w:rPr>
            <w:rStyle w:val="Hipervnculo"/>
            <w:rFonts w:ascii="Arial" w:hAnsi="Arial" w:cs="Arial"/>
            <w:color w:val="1155CC"/>
            <w:sz w:val="22"/>
            <w:szCs w:val="22"/>
            <w:lang w:val="en-US"/>
          </w:rPr>
          <w:t>https://www.ncbi.nlm.nih.gov/pmc/articles/PMC7445431/</w:t>
        </w:r>
      </w:hyperlink>
    </w:p>
    <w:p w14:paraId="4C3087E1" w14:textId="77777777" w:rsidR="00ED679E" w:rsidRPr="00ED679E" w:rsidRDefault="00ED679E" w:rsidP="00ED679E">
      <w:pPr>
        <w:pStyle w:val="NormalWeb"/>
        <w:shd w:val="clear" w:color="auto" w:fill="FFFFFF"/>
        <w:spacing w:before="0" w:beforeAutospacing="0" w:after="0" w:afterAutospacing="0"/>
        <w:rPr>
          <w:lang w:val="en-US"/>
        </w:rPr>
      </w:pPr>
      <w:r w:rsidRPr="00ED679E">
        <w:rPr>
          <w:rFonts w:ascii="Merriweather" w:hAnsi="Merriweather"/>
          <w:b/>
          <w:bCs/>
          <w:color w:val="212121"/>
          <w:sz w:val="48"/>
          <w:szCs w:val="48"/>
          <w:lang w:val="en-US"/>
        </w:rPr>
        <w:t> </w:t>
      </w:r>
    </w:p>
    <w:p w14:paraId="447AFE60"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Valor social</w:t>
      </w:r>
    </w:p>
    <w:p w14:paraId="3D7D881C" w14:textId="77777777" w:rsidR="00ED679E" w:rsidRDefault="00ED679E" w:rsidP="00ED679E">
      <w:pPr>
        <w:pStyle w:val="NormalWeb"/>
        <w:spacing w:before="240" w:beforeAutospacing="0" w:after="240" w:afterAutospacing="0"/>
      </w:pPr>
      <w:r>
        <w:rPr>
          <w:rFonts w:ascii="Arial" w:hAnsi="Arial" w:cs="Arial"/>
          <w:color w:val="000000"/>
          <w:sz w:val="22"/>
          <w:szCs w:val="22"/>
        </w:rPr>
        <w:t>La pandemia del coronavirus 2 (SARS-CoV-2) de la neumonía asiática podría reducirse mediante la vacunación.</w:t>
      </w:r>
    </w:p>
    <w:p w14:paraId="13DB6ED8" w14:textId="77777777" w:rsidR="00ED679E" w:rsidRDefault="00ED679E" w:rsidP="00ED679E">
      <w:pPr>
        <w:pStyle w:val="NormalWeb"/>
        <w:spacing w:before="240" w:beforeAutospacing="0" w:after="240" w:afterAutospacing="0"/>
      </w:pPr>
      <w:r>
        <w:rPr>
          <w:rFonts w:ascii="Arial" w:hAnsi="Arial" w:cs="Arial"/>
          <w:color w:val="000000"/>
          <w:sz w:val="22"/>
          <w:szCs w:val="22"/>
        </w:rPr>
        <w:t>El protocolo se redactó cuando la pandemia se estaba acelerando en el Reino Unido y se eligió una dosis única más alta para proporcionar la mayor probabilidad de inducción rápida de anticuerpos neutralizantes. En el contexto de una ola pandémica donde una sola dosis más alta, pero más reactiva, podría tener más probabilidades de inducir rápidamente inmunidad protectora, el uso de paracetamol profiláctico parece aumentar la tolerabilidad y reduciría la confusión con los síntomas de COVID-19 que podrían ser causados por síntomas de corta duración relacionados con la vacuna sin comprometer la inmunogenicidad.</w:t>
      </w:r>
    </w:p>
    <w:p w14:paraId="643811AF"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560B4FC6"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Validez científica:</w:t>
      </w:r>
    </w:p>
    <w:p w14:paraId="0B0039AC" w14:textId="77777777" w:rsidR="00ED679E" w:rsidRDefault="00ED679E" w:rsidP="00ED679E">
      <w:pPr>
        <w:pStyle w:val="NormalWeb"/>
        <w:spacing w:before="240" w:beforeAutospacing="0" w:after="240" w:afterAutospacing="0"/>
      </w:pPr>
      <w:r>
        <w:rPr>
          <w:rFonts w:ascii="Arial" w:hAnsi="Arial" w:cs="Arial"/>
          <w:color w:val="000000"/>
          <w:sz w:val="22"/>
          <w:szCs w:val="22"/>
        </w:rPr>
        <w:t>El estadístico del estudio (MV) generó listas de aleatorización, utilizando aleatorización en bloques estratificada por grupo de estudio y sitio de estudio. Se eligieron tamaños de bloque de dos y cuatro para alinearse con los tamaños de los grupos de estudio y la secuencia de inscripción, y variaron entre los grupos de estudio. La aleatorización por computadora se realizó con ocultación total de la asignación dentro de la plataforma web segura utilizada para el formulario electrónico de informe de caso del estudio.</w:t>
      </w:r>
    </w:p>
    <w:p w14:paraId="22B12DB0" w14:textId="77777777" w:rsidR="00ED679E" w:rsidRDefault="00ED679E" w:rsidP="00ED679E">
      <w:pPr>
        <w:pStyle w:val="NormalWeb"/>
        <w:spacing w:before="240" w:beforeAutospacing="0" w:after="240" w:afterAutospacing="0"/>
      </w:pPr>
      <w:r>
        <w:rPr>
          <w:rFonts w:ascii="Arial" w:hAnsi="Arial" w:cs="Arial"/>
          <w:color w:val="000000"/>
          <w:sz w:val="22"/>
          <w:szCs w:val="22"/>
        </w:rPr>
        <w:t>El uso de solución salina como placebo correría el riesgo de desenmascarar a los participantes, ya que aquellos que tuvieran reacciones notables sabrían que estaban en el grupo de la vacuna ChAdOx1 nCoV-19.</w:t>
      </w:r>
    </w:p>
    <w:p w14:paraId="0232873E" w14:textId="77777777" w:rsidR="00ED679E" w:rsidRDefault="00ED679E" w:rsidP="00ED679E">
      <w:pPr>
        <w:pStyle w:val="NormalWeb"/>
        <w:spacing w:before="240" w:beforeAutospacing="0" w:after="240" w:afterAutospacing="0"/>
      </w:pPr>
      <w:r>
        <w:rPr>
          <w:rFonts w:ascii="Arial" w:hAnsi="Arial" w:cs="Arial"/>
          <w:color w:val="000000"/>
          <w:sz w:val="22"/>
          <w:szCs w:val="22"/>
        </w:rPr>
        <w:t>El personal del ensayo que administró la vacuna preparó las vacunas fuera de la vista de los participantes y las jeringas se cubrieron con un material opaco hasta que estuvieron listas para la administración para garantizar el cegamiento de los participantes. Los investigadores clínicos y el equipo de laboratorio permanecieron cegados a la asignación de grupos.</w:t>
      </w:r>
    </w:p>
    <w:p w14:paraId="677B01E1" w14:textId="77777777" w:rsidR="00ED679E" w:rsidRDefault="00ED679E" w:rsidP="00ED679E">
      <w:pPr>
        <w:pStyle w:val="NormalWeb"/>
        <w:spacing w:before="240" w:beforeAutospacing="0" w:after="240" w:afterAutospacing="0"/>
      </w:pPr>
      <w:r>
        <w:rPr>
          <w:rFonts w:ascii="Arial" w:hAnsi="Arial" w:cs="Arial"/>
          <w:color w:val="000000"/>
          <w:sz w:val="22"/>
          <w:szCs w:val="22"/>
        </w:rPr>
        <w:lastRenderedPageBreak/>
        <w:t>El tamaño de la muestra para el estudio estuvo determinado por la cantidad de dosis de vacuna que estaban disponibles para su uso después del proceso de fabricación clínica inicial.</w:t>
      </w:r>
    </w:p>
    <w:p w14:paraId="750402F5"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35F26944"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Selección equitativa de los sujetos de investigación</w:t>
      </w:r>
    </w:p>
    <w:p w14:paraId="2FBD1DB6" w14:textId="77777777" w:rsidR="00ED679E" w:rsidRDefault="00ED679E" w:rsidP="00ED679E">
      <w:pPr>
        <w:pStyle w:val="NormalWeb"/>
        <w:spacing w:before="240" w:beforeAutospacing="0" w:after="240" w:afterAutospacing="0"/>
      </w:pPr>
      <w:r>
        <w:rPr>
          <w:rFonts w:ascii="Arial" w:hAnsi="Arial" w:cs="Arial"/>
          <w:color w:val="000000"/>
          <w:sz w:val="22"/>
          <w:szCs w:val="22"/>
        </w:rPr>
        <w:t xml:space="preserve">Se asignaron al azar (1:1) adultos sanos de 18 a 55 años sin antecedentes de infección por SARS-CoV-2 confirmada por laboratorio o de síntomas similares a los de COVID-19 para recibir ChAdOx1 nCoV-19 en una dosis de 5 × 10 10partículas virales o </w:t>
      </w:r>
      <w:proofErr w:type="spellStart"/>
      <w:r>
        <w:rPr>
          <w:rFonts w:ascii="Arial" w:hAnsi="Arial" w:cs="Arial"/>
          <w:color w:val="000000"/>
          <w:sz w:val="22"/>
          <w:szCs w:val="22"/>
        </w:rPr>
        <w:t>MenACWY</w:t>
      </w:r>
      <w:proofErr w:type="spellEnd"/>
      <w:r>
        <w:rPr>
          <w:rFonts w:ascii="Arial" w:hAnsi="Arial" w:cs="Arial"/>
          <w:color w:val="000000"/>
          <w:sz w:val="22"/>
          <w:szCs w:val="22"/>
        </w:rPr>
        <w:t xml:space="preserve"> como una única inyección intramuscular.</w:t>
      </w:r>
    </w:p>
    <w:p w14:paraId="052997F4" w14:textId="77777777" w:rsidR="00ED679E" w:rsidRDefault="00ED679E" w:rsidP="00ED679E">
      <w:pPr>
        <w:pStyle w:val="NormalWeb"/>
        <w:spacing w:before="240" w:beforeAutospacing="0" w:after="240" w:afterAutospacing="0"/>
      </w:pPr>
      <w:r>
        <w:rPr>
          <w:rFonts w:ascii="Arial" w:hAnsi="Arial" w:cs="Arial"/>
          <w:color w:val="000000"/>
          <w:sz w:val="22"/>
          <w:szCs w:val="22"/>
        </w:rPr>
        <w:t>se inscribieron y asignaron 1077 participantes</w:t>
      </w:r>
    </w:p>
    <w:p w14:paraId="27B70E09" w14:textId="77777777" w:rsidR="00ED679E" w:rsidRDefault="00ED679E" w:rsidP="00ED679E">
      <w:pPr>
        <w:pStyle w:val="NormalWeb"/>
        <w:spacing w:before="240" w:beforeAutospacing="0" w:after="240" w:afterAutospacing="0"/>
      </w:pPr>
      <w:r>
        <w:rPr>
          <w:rFonts w:ascii="Arial" w:hAnsi="Arial" w:cs="Arial"/>
          <w:color w:val="000000"/>
          <w:sz w:val="22"/>
          <w:szCs w:val="22"/>
        </w:rPr>
        <w:t xml:space="preserve">ChAdOx1 nCoV-19 (n=543) o </w:t>
      </w:r>
      <w:proofErr w:type="spellStart"/>
      <w:r>
        <w:rPr>
          <w:rFonts w:ascii="Arial" w:hAnsi="Arial" w:cs="Arial"/>
          <w:color w:val="000000"/>
          <w:sz w:val="22"/>
          <w:szCs w:val="22"/>
        </w:rPr>
        <w:t>MenACWY</w:t>
      </w:r>
      <w:proofErr w:type="spellEnd"/>
      <w:r>
        <w:rPr>
          <w:rFonts w:ascii="Arial" w:hAnsi="Arial" w:cs="Arial"/>
          <w:color w:val="000000"/>
          <w:sz w:val="22"/>
          <w:szCs w:val="22"/>
        </w:rPr>
        <w:t xml:space="preserve"> (n=534)</w:t>
      </w:r>
    </w:p>
    <w:p w14:paraId="34A2310F" w14:textId="77777777" w:rsidR="00ED679E" w:rsidRDefault="00ED679E" w:rsidP="00ED679E">
      <w:pPr>
        <w:pStyle w:val="NormalWeb"/>
        <w:spacing w:before="240" w:beforeAutospacing="0" w:after="240" w:afterAutospacing="0"/>
      </w:pPr>
      <w:r>
        <w:rPr>
          <w:rFonts w:ascii="Arial" w:hAnsi="Arial" w:cs="Arial"/>
          <w:color w:val="000000"/>
          <w:sz w:val="22"/>
          <w:szCs w:val="22"/>
        </w:rPr>
        <w:t xml:space="preserve">Los participantes fueron asignados al azar (1:1) para recibir la vacuna ChAdOx1 nCoV-19 o la vacuna </w:t>
      </w:r>
      <w:proofErr w:type="spellStart"/>
      <w:r>
        <w:rPr>
          <w:rFonts w:ascii="Arial" w:hAnsi="Arial" w:cs="Arial"/>
          <w:color w:val="000000"/>
          <w:sz w:val="22"/>
          <w:szCs w:val="22"/>
        </w:rPr>
        <w:t>MenACWY</w:t>
      </w:r>
      <w:proofErr w:type="spellEnd"/>
      <w:r>
        <w:rPr>
          <w:rFonts w:ascii="Arial" w:hAnsi="Arial" w:cs="Arial"/>
          <w:color w:val="000000"/>
          <w:sz w:val="22"/>
          <w:szCs w:val="22"/>
        </w:rPr>
        <w:t xml:space="preserve">. </w:t>
      </w:r>
      <w:proofErr w:type="spellStart"/>
      <w:r>
        <w:rPr>
          <w:rFonts w:ascii="Arial" w:hAnsi="Arial" w:cs="Arial"/>
          <w:color w:val="000000"/>
          <w:sz w:val="22"/>
          <w:szCs w:val="22"/>
        </w:rPr>
        <w:t>MenACWY</w:t>
      </w:r>
      <w:proofErr w:type="spellEnd"/>
      <w:r>
        <w:rPr>
          <w:rFonts w:ascii="Arial" w:hAnsi="Arial" w:cs="Arial"/>
          <w:color w:val="000000"/>
          <w:sz w:val="22"/>
          <w:szCs w:val="22"/>
        </w:rPr>
        <w:t xml:space="preserve"> se utilizó como vacuna de comparación para mantener el cegamiento de los participantes que experimentaron reacciones locales o sistémicas, ya que estas reacciones son una asociación conocida con las vacunas con vectores virales. El uso de solución salina como placebo correría el riesgo de desenmascarar a los participantes, ya que aquellos que tuvieran reacciones notables sabrían que estaban en el grupo de la vacuna ChAdOx1 nCoV-19.</w:t>
      </w:r>
    </w:p>
    <w:p w14:paraId="4D40D25B" w14:textId="77777777" w:rsidR="00ED679E" w:rsidRDefault="00ED679E" w:rsidP="00ED679E">
      <w:pPr>
        <w:pStyle w:val="NormalWeb"/>
        <w:spacing w:before="240" w:beforeAutospacing="0" w:after="240" w:afterAutospacing="0"/>
      </w:pPr>
      <w:r>
        <w:rPr>
          <w:rFonts w:ascii="Arial" w:hAnsi="Arial" w:cs="Arial"/>
          <w:color w:val="000000"/>
          <w:sz w:val="22"/>
          <w:szCs w:val="22"/>
        </w:rPr>
        <w:t>La mediana de edad de los participantes fue de 35 años (RIC 28–44 años), 536 (49,8%) participantes eran mujeres y 541 (50,2%) eran hombres, y la mayoría de los participantes (979 [90,9%</w:t>
      </w:r>
      <w:proofErr w:type="gramStart"/>
      <w:r>
        <w:rPr>
          <w:rFonts w:ascii="Arial" w:hAnsi="Arial" w:cs="Arial"/>
          <w:color w:val="000000"/>
          <w:sz w:val="22"/>
          <w:szCs w:val="22"/>
        </w:rPr>
        <w:t>] )</w:t>
      </w:r>
      <w:proofErr w:type="gramEnd"/>
      <w:r>
        <w:rPr>
          <w:rFonts w:ascii="Arial" w:hAnsi="Arial" w:cs="Arial"/>
          <w:color w:val="000000"/>
          <w:sz w:val="22"/>
          <w:szCs w:val="22"/>
        </w:rPr>
        <w:t xml:space="preserve"> eran blancos</w:t>
      </w:r>
    </w:p>
    <w:p w14:paraId="4AD2D8F4"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4A184EF5" w14:textId="1E5FC195" w:rsidR="00ED679E" w:rsidRDefault="00ED679E" w:rsidP="00ED679E">
      <w:pPr>
        <w:pStyle w:val="NormalWeb"/>
        <w:spacing w:before="240" w:beforeAutospacing="0" w:after="240" w:afterAutospacing="0"/>
      </w:pPr>
      <w:r>
        <w:rPr>
          <w:rFonts w:ascii="Arial" w:hAnsi="Arial" w:cs="Arial"/>
          <w:color w:val="000000"/>
          <w:sz w:val="22"/>
          <w:szCs w:val="22"/>
        </w:rPr>
        <w:t> </w:t>
      </w:r>
    </w:p>
    <w:p w14:paraId="2199FA67"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Relación balance beneficios/riesgos favorables</w:t>
      </w:r>
    </w:p>
    <w:p w14:paraId="2B27FC63" w14:textId="77777777" w:rsidR="00ED679E" w:rsidRDefault="00ED679E" w:rsidP="00ED679E">
      <w:pPr>
        <w:pStyle w:val="NormalWeb"/>
        <w:spacing w:before="240" w:beforeAutospacing="0" w:after="240" w:afterAutospacing="0"/>
      </w:pPr>
      <w:r>
        <w:rPr>
          <w:rFonts w:ascii="Arial" w:hAnsi="Arial" w:cs="Arial"/>
          <w:color w:val="000000"/>
          <w:sz w:val="22"/>
          <w:szCs w:val="22"/>
        </w:rPr>
        <w:t>ChAdOx1 nCoV-19 mostró un perfil de seguridad aceptable y un aumento de las respuestas de anticuerpos de refuerzo homólogo. Estos resultados, junto con la inducción de respuestas inmunitarias tanto humorales como celulares, respaldan la evaluación a gran escala de esta vacuna candidata en un programa de fase 3 en curso.</w:t>
      </w:r>
    </w:p>
    <w:p w14:paraId="380A39EE" w14:textId="77777777" w:rsidR="00ED679E" w:rsidRDefault="00ED679E" w:rsidP="00ED679E">
      <w:pPr>
        <w:pStyle w:val="NormalWeb"/>
        <w:spacing w:before="240" w:beforeAutospacing="0" w:after="240" w:afterAutospacing="0"/>
      </w:pPr>
      <w:r>
        <w:rPr>
          <w:rFonts w:ascii="Arial" w:hAnsi="Arial" w:cs="Arial"/>
          <w:color w:val="000000"/>
          <w:sz w:val="22"/>
          <w:szCs w:val="22"/>
        </w:rPr>
        <w:t>Una enmienda al protocolo en dos de los cinco sitios permitió la administración de paracetamol profiláctico antes de la vacunación.</w:t>
      </w:r>
    </w:p>
    <w:p w14:paraId="7B5D42BD" w14:textId="77777777" w:rsidR="00ED679E" w:rsidRDefault="00ED679E" w:rsidP="00ED679E">
      <w:pPr>
        <w:pStyle w:val="NormalWeb"/>
        <w:spacing w:before="240" w:beforeAutospacing="0" w:after="240" w:afterAutospacing="0"/>
      </w:pPr>
      <w:r>
        <w:rPr>
          <w:rFonts w:ascii="Arial" w:hAnsi="Arial" w:cs="Arial"/>
          <w:color w:val="000000"/>
          <w:sz w:val="22"/>
          <w:szCs w:val="22"/>
        </w:rPr>
        <w:t>Después de dos dosis, todos los participantes estudiados presentaron una potente inmunogenicidad celular y humoral</w:t>
      </w:r>
    </w:p>
    <w:p w14:paraId="43D64059" w14:textId="77777777" w:rsidR="00ED679E" w:rsidRDefault="00ED679E" w:rsidP="00ED679E">
      <w:pPr>
        <w:pStyle w:val="NormalWeb"/>
        <w:spacing w:before="240" w:beforeAutospacing="0" w:after="240" w:afterAutospacing="0"/>
      </w:pPr>
      <w:r>
        <w:rPr>
          <w:rFonts w:ascii="Arial" w:hAnsi="Arial" w:cs="Arial"/>
          <w:color w:val="000000"/>
          <w:sz w:val="22"/>
          <w:szCs w:val="22"/>
        </w:rPr>
        <w:t xml:space="preserve"> Hubo un evento adverso grave en el grupo </w:t>
      </w:r>
      <w:proofErr w:type="spellStart"/>
      <w:r>
        <w:rPr>
          <w:rFonts w:ascii="Arial" w:hAnsi="Arial" w:cs="Arial"/>
          <w:color w:val="000000"/>
          <w:sz w:val="22"/>
          <w:szCs w:val="22"/>
        </w:rPr>
        <w:t>MenACWY</w:t>
      </w:r>
      <w:proofErr w:type="spellEnd"/>
      <w:r>
        <w:rPr>
          <w:rFonts w:ascii="Arial" w:hAnsi="Arial" w:cs="Arial"/>
          <w:color w:val="000000"/>
          <w:sz w:val="22"/>
          <w:szCs w:val="22"/>
        </w:rPr>
        <w:t xml:space="preserve"> consistente en un nuevo diagnóstico de anemia hemolítica, que ocurrió 9 días después de la vacunación. El participante estuvo clínicamente bien durante todo el estudio. El evento se informó como una sospecha de reacción adversa grave inesperada relacionada con la vacuna </w:t>
      </w:r>
      <w:proofErr w:type="spellStart"/>
      <w:r>
        <w:rPr>
          <w:rFonts w:ascii="Arial" w:hAnsi="Arial" w:cs="Arial"/>
          <w:color w:val="000000"/>
          <w:sz w:val="22"/>
          <w:szCs w:val="22"/>
        </w:rPr>
        <w:t>MenACWY</w:t>
      </w:r>
      <w:proofErr w:type="spellEnd"/>
      <w:r>
        <w:rPr>
          <w:rFonts w:ascii="Arial" w:hAnsi="Arial" w:cs="Arial"/>
          <w:color w:val="000000"/>
          <w:sz w:val="22"/>
          <w:szCs w:val="22"/>
        </w:rPr>
        <w:t>.</w:t>
      </w:r>
    </w:p>
    <w:p w14:paraId="0D6F818F"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35538BCE" w14:textId="77777777" w:rsidR="00ED679E" w:rsidRDefault="00ED679E" w:rsidP="00ED679E">
      <w:pPr>
        <w:pStyle w:val="NormalWeb"/>
        <w:spacing w:before="240" w:beforeAutospacing="0" w:after="240" w:afterAutospacing="0"/>
        <w:rPr>
          <w:rFonts w:ascii="Arial" w:hAnsi="Arial" w:cs="Arial"/>
          <w:color w:val="000000"/>
          <w:sz w:val="22"/>
          <w:szCs w:val="22"/>
        </w:rPr>
      </w:pPr>
    </w:p>
    <w:p w14:paraId="09C9FBA8" w14:textId="5A92304B"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lastRenderedPageBreak/>
        <w:t>Evaluación Independiente:</w:t>
      </w:r>
    </w:p>
    <w:p w14:paraId="24C8120E" w14:textId="77777777" w:rsidR="00ED679E" w:rsidRDefault="00ED679E" w:rsidP="00ED679E">
      <w:pPr>
        <w:pStyle w:val="NormalWeb"/>
        <w:spacing w:before="240" w:beforeAutospacing="0" w:after="240" w:afterAutospacing="0"/>
      </w:pPr>
      <w:r>
        <w:rPr>
          <w:rFonts w:ascii="Arial" w:hAnsi="Arial" w:cs="Arial"/>
          <w:color w:val="000000"/>
          <w:sz w:val="22"/>
          <w:szCs w:val="22"/>
        </w:rPr>
        <w:t>Este estudio fue aprobado en el Reino Unido por la Agencia Reguladora de Medicamentos y Productos Sanitarios (referencia 21584/0424/001-0001) y el Comité de Ética en Investigación de South Central Berkshire (referencia 20/SC/0145). El uso de la vacuna fue autorizado por los Comités de Seguridad de Organismos Genéticamente Modificados de cada sitio participante.</w:t>
      </w:r>
    </w:p>
    <w:p w14:paraId="2A697B81" w14:textId="77777777" w:rsidR="00ED679E" w:rsidRDefault="00ED679E" w:rsidP="00ED679E">
      <w:pPr>
        <w:pStyle w:val="NormalWeb"/>
        <w:spacing w:before="240" w:beforeAutospacing="0" w:after="240" w:afterAutospacing="0"/>
      </w:pPr>
      <w:r>
        <w:rPr>
          <w:rFonts w:ascii="Arial" w:hAnsi="Arial" w:cs="Arial"/>
          <w:color w:val="000000"/>
          <w:sz w:val="22"/>
          <w:szCs w:val="22"/>
        </w:rPr>
        <w:t xml:space="preserve">Una junta independiente de monitoreo de seguridad y datos proporcionó supervisión de seguridad </w:t>
      </w:r>
      <w:proofErr w:type="gramStart"/>
      <w:r>
        <w:rPr>
          <w:rFonts w:ascii="Arial" w:hAnsi="Arial" w:cs="Arial"/>
          <w:color w:val="000000"/>
          <w:sz w:val="22"/>
          <w:szCs w:val="22"/>
        </w:rPr>
        <w:t>( apéndice</w:t>
      </w:r>
      <w:proofErr w:type="gramEnd"/>
      <w:r>
        <w:rPr>
          <w:rFonts w:ascii="Arial" w:hAnsi="Arial" w:cs="Arial"/>
          <w:color w:val="000000"/>
          <w:sz w:val="22"/>
          <w:szCs w:val="22"/>
        </w:rPr>
        <w:t xml:space="preserve"> 1 p. 46 ). Este estudio está registrado en </w:t>
      </w:r>
      <w:proofErr w:type="gramStart"/>
      <w:r>
        <w:rPr>
          <w:rFonts w:ascii="Arial" w:hAnsi="Arial" w:cs="Arial"/>
          <w:color w:val="000000"/>
          <w:sz w:val="22"/>
          <w:szCs w:val="22"/>
        </w:rPr>
        <w:t>ClinicalTrials.gov ,</w:t>
      </w:r>
      <w:proofErr w:type="gramEnd"/>
      <w:r>
        <w:rPr>
          <w:rFonts w:ascii="Arial" w:hAnsi="Arial" w:cs="Arial"/>
          <w:color w:val="000000"/>
          <w:sz w:val="22"/>
          <w:szCs w:val="22"/>
        </w:rPr>
        <w:t xml:space="preserve"> NCT04324606 y en ISRCTN, 15281137.</w:t>
      </w:r>
    </w:p>
    <w:p w14:paraId="2BB3C43A"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2A7BC009"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Consentimiento informado:</w:t>
      </w:r>
    </w:p>
    <w:p w14:paraId="6882E060" w14:textId="77777777" w:rsidR="00ED679E" w:rsidRDefault="00ED679E" w:rsidP="00ED679E">
      <w:pPr>
        <w:pStyle w:val="NormalWeb"/>
        <w:spacing w:before="240" w:beforeAutospacing="0" w:after="240" w:afterAutospacing="0"/>
      </w:pPr>
      <w:r>
        <w:rPr>
          <w:rFonts w:ascii="Arial" w:hAnsi="Arial" w:cs="Arial"/>
          <w:color w:val="000000"/>
          <w:sz w:val="22"/>
          <w:szCs w:val="22"/>
        </w:rPr>
        <w:t>Se obtuvo el consentimiento informado por escrito de todos los participantes y el ensayo se realiza de acuerdo con los principios de la Declaración de Helsinki y las Buenas Prácticas Clínicas.</w:t>
      </w:r>
    </w:p>
    <w:p w14:paraId="7FE6AB2C"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4F41B131"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Respeto por los participantes:</w:t>
      </w:r>
    </w:p>
    <w:p w14:paraId="26378888" w14:textId="77777777" w:rsidR="00ED679E" w:rsidRDefault="00ED679E" w:rsidP="00ED679E">
      <w:pPr>
        <w:pStyle w:val="NormalWeb"/>
        <w:spacing w:before="240" w:beforeAutospacing="0" w:after="240" w:afterAutospacing="0"/>
      </w:pPr>
      <w:r>
        <w:rPr>
          <w:rFonts w:ascii="Arial" w:hAnsi="Arial" w:cs="Arial"/>
          <w:color w:val="000000"/>
          <w:sz w:val="22"/>
          <w:szCs w:val="22"/>
        </w:rPr>
        <w:t>El personal del ensayo que administró la vacuna preparó las vacunas fuera de la vista de los participantes y las jeringas se cubrieron con un material opaco hasta que estuvieron listas para la administración para garantizar el cegamiento de los participantes. Los investigadores clínicos y el equipo de laboratorio permanecieron cegados a la asignación de grupos.</w:t>
      </w:r>
    </w:p>
    <w:p w14:paraId="3B7D9A2E" w14:textId="77777777" w:rsidR="00ED679E" w:rsidRDefault="00ED679E" w:rsidP="00ED679E">
      <w:pPr>
        <w:pStyle w:val="NormalWeb"/>
        <w:spacing w:before="240" w:beforeAutospacing="0" w:after="240" w:afterAutospacing="0"/>
      </w:pPr>
      <w:r>
        <w:rPr>
          <w:rFonts w:ascii="Arial" w:hAnsi="Arial" w:cs="Arial"/>
          <w:color w:val="000000"/>
          <w:sz w:val="22"/>
          <w:szCs w:val="22"/>
        </w:rPr>
        <w:t>Se observó a los participantes en la clínica durante 30 a 60 minutos después del procedimiento de vacunación y se les pidió que registraran cualquier evento adverso utilizando diarios electrónicos durante el período de seguimiento de 28 días.</w:t>
      </w:r>
    </w:p>
    <w:p w14:paraId="5C90A935" w14:textId="77777777" w:rsidR="00ED679E" w:rsidRDefault="00ED679E" w:rsidP="00ED679E">
      <w:pPr>
        <w:pStyle w:val="NormalWeb"/>
        <w:spacing w:before="240" w:beforeAutospacing="0" w:after="240" w:afterAutospacing="0"/>
      </w:pPr>
      <w:r>
        <w:rPr>
          <w:rFonts w:ascii="Arial" w:hAnsi="Arial" w:cs="Arial"/>
          <w:color w:val="000000"/>
          <w:sz w:val="22"/>
          <w:szCs w:val="22"/>
        </w:rPr>
        <w:t xml:space="preserve"> Hubo un evento adverso grave en el grupo </w:t>
      </w:r>
      <w:proofErr w:type="spellStart"/>
      <w:r>
        <w:rPr>
          <w:rFonts w:ascii="Arial" w:hAnsi="Arial" w:cs="Arial"/>
          <w:color w:val="000000"/>
          <w:sz w:val="22"/>
          <w:szCs w:val="22"/>
        </w:rPr>
        <w:t>MenACWY</w:t>
      </w:r>
      <w:proofErr w:type="spellEnd"/>
      <w:r>
        <w:rPr>
          <w:rFonts w:ascii="Arial" w:hAnsi="Arial" w:cs="Arial"/>
          <w:color w:val="000000"/>
          <w:sz w:val="22"/>
          <w:szCs w:val="22"/>
        </w:rPr>
        <w:t xml:space="preserve"> consistente en un nuevo diagnóstico de anemia hemolítica, que ocurrió 9 días después de la vacunación. El participante estuvo clínicamente bien durante todo el estudio. El evento se informó como una sospecha de reacción adversa grave inesperada relacionada con la vacuna </w:t>
      </w:r>
      <w:proofErr w:type="spellStart"/>
      <w:r>
        <w:rPr>
          <w:rFonts w:ascii="Arial" w:hAnsi="Arial" w:cs="Arial"/>
          <w:color w:val="000000"/>
          <w:sz w:val="22"/>
          <w:szCs w:val="22"/>
        </w:rPr>
        <w:t>MenACWY</w:t>
      </w:r>
      <w:proofErr w:type="spellEnd"/>
      <w:r>
        <w:rPr>
          <w:rFonts w:ascii="Arial" w:hAnsi="Arial" w:cs="Arial"/>
          <w:color w:val="000000"/>
          <w:sz w:val="22"/>
          <w:szCs w:val="22"/>
        </w:rPr>
        <w:t>.</w:t>
      </w:r>
    </w:p>
    <w:p w14:paraId="34B82F92" w14:textId="77777777" w:rsidR="00ED679E" w:rsidRDefault="00ED679E" w:rsidP="00ED679E">
      <w:pPr>
        <w:pStyle w:val="NormalWeb"/>
        <w:spacing w:before="240" w:beforeAutospacing="0" w:after="240" w:afterAutospacing="0"/>
      </w:pPr>
      <w:r>
        <w:rPr>
          <w:rFonts w:ascii="Arial" w:hAnsi="Arial" w:cs="Arial"/>
          <w:color w:val="000000"/>
          <w:sz w:val="22"/>
          <w:szCs w:val="22"/>
        </w:rPr>
        <w:t>La mayoría de los eventos adversos informados fueron de gravedad leve o moderada y todos fueron autolimitados.</w:t>
      </w:r>
    </w:p>
    <w:p w14:paraId="1905BB4C" w14:textId="77777777" w:rsidR="00ED679E" w:rsidRDefault="00ED679E" w:rsidP="00ED679E">
      <w:pPr>
        <w:pStyle w:val="NormalWeb"/>
        <w:spacing w:before="240" w:beforeAutospacing="0" w:after="240" w:afterAutospacing="0"/>
      </w:pPr>
      <w:r>
        <w:rPr>
          <w:rFonts w:ascii="Arial" w:hAnsi="Arial" w:cs="Arial"/>
          <w:color w:val="000000"/>
          <w:sz w:val="22"/>
          <w:szCs w:val="22"/>
        </w:rPr>
        <w:t>Se realizará un seguimiento de los participantes reclutados en este estudio durante al menos 1 año y se informarán más resultados de seguridad, tolerabilidad e inmunogenicidad (además de la eficacia) cuando los datos estén disponibles.</w:t>
      </w:r>
    </w:p>
    <w:p w14:paraId="0BEF227D"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700ABAA6"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Conflictos de interés:</w:t>
      </w:r>
    </w:p>
    <w:p w14:paraId="66A756B5" w14:textId="77777777" w:rsidR="00ED679E" w:rsidRDefault="00ED679E" w:rsidP="00ED679E">
      <w:pPr>
        <w:pStyle w:val="NormalWeb"/>
        <w:spacing w:before="240" w:beforeAutospacing="0" w:after="240" w:afterAutospacing="0"/>
      </w:pPr>
      <w:r>
        <w:rPr>
          <w:rFonts w:ascii="Arial" w:hAnsi="Arial" w:cs="Arial"/>
          <w:color w:val="000000"/>
          <w:sz w:val="22"/>
          <w:szCs w:val="22"/>
        </w:rPr>
        <w:t>Los financiadores del estudio no tuvieron ningún papel en el diseño del estudio, la recopilación de datos, el análisis de los datos, la interpretación de los datos o la redacción del informe. Todos los autores tuvieron acceso completo a todos los datos del estudio y tuvieron la responsabilidad final de la decisión de enviarlos para su publicación.</w:t>
      </w:r>
    </w:p>
    <w:p w14:paraId="37C9F982" w14:textId="31CE7387" w:rsidR="00ED679E" w:rsidRPr="00ED679E" w:rsidRDefault="00ED679E" w:rsidP="00ED679E">
      <w:pPr>
        <w:pStyle w:val="NormalWeb"/>
        <w:spacing w:before="240" w:beforeAutospacing="0" w:after="240" w:afterAutospacing="0"/>
        <w:rPr>
          <w:b/>
          <w:bCs/>
        </w:rPr>
      </w:pPr>
      <w:r>
        <w:rPr>
          <w:rFonts w:ascii="Arial" w:hAnsi="Arial" w:cs="Arial"/>
          <w:color w:val="000000"/>
          <w:sz w:val="22"/>
          <w:szCs w:val="22"/>
        </w:rPr>
        <w:lastRenderedPageBreak/>
        <w:t> </w:t>
      </w:r>
      <w:r w:rsidRPr="00ED679E">
        <w:rPr>
          <w:rFonts w:ascii="Arial" w:hAnsi="Arial" w:cs="Arial"/>
          <w:b/>
          <w:bCs/>
          <w:color w:val="000000"/>
          <w:sz w:val="22"/>
          <w:szCs w:val="22"/>
        </w:rPr>
        <w:t>Inclusión:</w:t>
      </w:r>
    </w:p>
    <w:p w14:paraId="5A75CCE9" w14:textId="77777777" w:rsidR="00ED679E" w:rsidRDefault="00ED679E" w:rsidP="00ED679E">
      <w:pPr>
        <w:pStyle w:val="NormalWeb"/>
        <w:spacing w:before="240" w:beforeAutospacing="0" w:after="240" w:afterAutospacing="0"/>
      </w:pPr>
      <w:r>
        <w:rPr>
          <w:rFonts w:ascii="Arial" w:hAnsi="Arial" w:cs="Arial"/>
          <w:color w:val="000000"/>
          <w:sz w:val="22"/>
          <w:szCs w:val="22"/>
        </w:rPr>
        <w:t>Se reclutó a participantes adultos sanos de entre 18 y 55 años a través de anuncios locales. Todos los participantes se sometieron a una visita de detección en la que se realizó un historial médico completo y un examen, además de análisis de sangre y orina (VIH; serología de hepatitis B y C; hemograma completo; pruebas de función renal y hepática; y análisis urinario de sangre, proteínas, y glucosa y prueba de embarazo realizada en mujeres en edad fértil).</w:t>
      </w:r>
    </w:p>
    <w:p w14:paraId="7442FAEE"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48A17911"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Exclusión:</w:t>
      </w:r>
    </w:p>
    <w:p w14:paraId="75AE5DB6" w14:textId="77777777" w:rsidR="00ED679E" w:rsidRDefault="00ED679E" w:rsidP="00ED679E">
      <w:pPr>
        <w:pStyle w:val="NormalWeb"/>
        <w:spacing w:before="240" w:beforeAutospacing="0" w:after="240" w:afterAutospacing="0"/>
      </w:pPr>
      <w:r>
        <w:rPr>
          <w:rFonts w:ascii="Arial" w:hAnsi="Arial" w:cs="Arial"/>
          <w:color w:val="000000"/>
          <w:sz w:val="22"/>
          <w:szCs w:val="22"/>
        </w:rPr>
        <w:t xml:space="preserve">Voluntarios con antecedentes de infección por SARS-CoV-2 confirmada por laboratorio; aquellos con mayor riesgo de exposición al SARS-CoV-2 antes de la inscripción (es decir, trabajadores de atención médica de primera línea que trabajan en departamentos de emergencia, unidades de cuidados intensivos y salas de COVID-19, y contactos cercanos de casos confirmados de COVID-19; </w:t>
      </w:r>
      <w:proofErr w:type="spellStart"/>
      <w:r>
        <w:rPr>
          <w:rFonts w:ascii="Arial" w:hAnsi="Arial" w:cs="Arial"/>
          <w:color w:val="000000"/>
          <w:sz w:val="22"/>
          <w:szCs w:val="22"/>
        </w:rPr>
        <w:t>verapéndice</w:t>
      </w:r>
      <w:proofErr w:type="spellEnd"/>
      <w:r>
        <w:rPr>
          <w:rFonts w:ascii="Arial" w:hAnsi="Arial" w:cs="Arial"/>
          <w:color w:val="000000"/>
          <w:sz w:val="22"/>
          <w:szCs w:val="22"/>
        </w:rPr>
        <w:t xml:space="preserve"> 1 p 82 para más detalles); y aquellos con una nueva aparición de fiebre, tos, dificultad para respirar y anosmia o ageusia desde el 1 de febrero de 2020 fueron excluidos del estudio.</w:t>
      </w:r>
    </w:p>
    <w:p w14:paraId="3D4DF578"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72CEDB3A" w14:textId="77777777" w:rsidR="00ED679E" w:rsidRPr="00ED679E" w:rsidRDefault="00ED679E" w:rsidP="00ED679E">
      <w:pPr>
        <w:pStyle w:val="NormalWeb"/>
        <w:spacing w:before="240" w:beforeAutospacing="0" w:after="240" w:afterAutospacing="0"/>
        <w:rPr>
          <w:b/>
          <w:bCs/>
        </w:rPr>
      </w:pPr>
      <w:r w:rsidRPr="00ED679E">
        <w:rPr>
          <w:rFonts w:ascii="Arial" w:hAnsi="Arial" w:cs="Arial"/>
          <w:b/>
          <w:bCs/>
          <w:color w:val="000000"/>
          <w:sz w:val="22"/>
          <w:szCs w:val="22"/>
        </w:rPr>
        <w:t>Principio de justicia</w:t>
      </w:r>
    </w:p>
    <w:p w14:paraId="04BD29B9" w14:textId="77777777" w:rsidR="00ED679E" w:rsidRDefault="00ED679E" w:rsidP="00ED679E">
      <w:pPr>
        <w:pStyle w:val="NormalWeb"/>
        <w:spacing w:before="240" w:beforeAutospacing="0" w:after="240" w:afterAutospacing="0"/>
      </w:pPr>
      <w:r>
        <w:rPr>
          <w:rFonts w:ascii="Arial" w:hAnsi="Arial" w:cs="Arial"/>
          <w:color w:val="000000"/>
          <w:sz w:val="22"/>
          <w:szCs w:val="22"/>
        </w:rPr>
        <w:t>La mediana de edad de los participantes fue de 35 años (RIC 28–44 años), 536 (49,8%) participantes eran mujeres y 541 (50,2%) eran hombres, y la mayoría de los participantes (979 [90,9%</w:t>
      </w:r>
      <w:proofErr w:type="gramStart"/>
      <w:r>
        <w:rPr>
          <w:rFonts w:ascii="Arial" w:hAnsi="Arial" w:cs="Arial"/>
          <w:color w:val="000000"/>
          <w:sz w:val="22"/>
          <w:szCs w:val="22"/>
        </w:rPr>
        <w:t>] )</w:t>
      </w:r>
      <w:proofErr w:type="gramEnd"/>
      <w:r>
        <w:rPr>
          <w:rFonts w:ascii="Arial" w:hAnsi="Arial" w:cs="Arial"/>
          <w:color w:val="000000"/>
          <w:sz w:val="22"/>
          <w:szCs w:val="22"/>
        </w:rPr>
        <w:t xml:space="preserve"> eran blancos</w:t>
      </w:r>
    </w:p>
    <w:p w14:paraId="67F6562D" w14:textId="77777777" w:rsidR="00ED679E" w:rsidRDefault="00ED679E" w:rsidP="00ED679E">
      <w:pPr>
        <w:pStyle w:val="NormalWeb"/>
        <w:spacing w:before="240" w:beforeAutospacing="0" w:after="240" w:afterAutospacing="0"/>
      </w:pPr>
      <w:r>
        <w:rPr>
          <w:rFonts w:ascii="Arial" w:hAnsi="Arial" w:cs="Arial"/>
          <w:color w:val="000000"/>
          <w:sz w:val="22"/>
          <w:szCs w:val="22"/>
        </w:rPr>
        <w:t> </w:t>
      </w:r>
    </w:p>
    <w:p w14:paraId="2BE7595A" w14:textId="77777777" w:rsidR="00EA7850" w:rsidRDefault="00EA7850"/>
    <w:sectPr w:rsidR="00EA785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erriweather">
    <w:charset w:val="00"/>
    <w:family w:val="auto"/>
    <w:pitch w:val="variable"/>
    <w:sig w:usb0="20000207" w:usb1="00000002" w:usb2="00000000" w:usb3="00000000" w:csb0="00000197"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79E"/>
    <w:rsid w:val="00A362E3"/>
    <w:rsid w:val="00E6448F"/>
    <w:rsid w:val="00EA7850"/>
    <w:rsid w:val="00ED679E"/>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633EF"/>
  <w15:chartTrackingRefBased/>
  <w15:docId w15:val="{D6864AED-1E24-4A06-98E2-249F5C77A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P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ED679E"/>
    <w:pPr>
      <w:spacing w:before="100" w:beforeAutospacing="1" w:after="100" w:afterAutospacing="1" w:line="240" w:lineRule="auto"/>
    </w:pPr>
    <w:rPr>
      <w:rFonts w:ascii="Times New Roman" w:eastAsia="Times New Roman" w:hAnsi="Times New Roman" w:cs="Times New Roman"/>
      <w:kern w:val="0"/>
      <w:sz w:val="24"/>
      <w:szCs w:val="24"/>
      <w:lang w:eastAsia="es-PE"/>
    </w:rPr>
  </w:style>
  <w:style w:type="character" w:styleId="Hipervnculo">
    <w:name w:val="Hyperlink"/>
    <w:basedOn w:val="Fuentedeprrafopredeter"/>
    <w:uiPriority w:val="99"/>
    <w:semiHidden/>
    <w:unhideWhenUsed/>
    <w:rsid w:val="00ED679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3239988">
      <w:bodyDiv w:val="1"/>
      <w:marLeft w:val="0"/>
      <w:marRight w:val="0"/>
      <w:marTop w:val="0"/>
      <w:marBottom w:val="0"/>
      <w:divBdr>
        <w:top w:val="none" w:sz="0" w:space="0" w:color="auto"/>
        <w:left w:val="none" w:sz="0" w:space="0" w:color="auto"/>
        <w:bottom w:val="none" w:sz="0" w:space="0" w:color="auto"/>
        <w:right w:val="none" w:sz="0" w:space="0" w:color="auto"/>
      </w:divBdr>
    </w:div>
    <w:div w:id="172459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ncbi.nlm.nih.gov/pmc/articles/PMC744543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1271</Words>
  <Characters>6992</Characters>
  <Application>Microsoft Office Word</Application>
  <DocSecurity>0</DocSecurity>
  <Lines>58</Lines>
  <Paragraphs>16</Paragraphs>
  <ScaleCrop>false</ScaleCrop>
  <Company/>
  <LinksUpToDate>false</LinksUpToDate>
  <CharactersWithSpaces>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 Urquiaga Vargas</dc:creator>
  <cp:keywords/>
  <dc:description/>
  <cp:lastModifiedBy>Tania Urquiaga Vargas</cp:lastModifiedBy>
  <cp:revision>1</cp:revision>
  <dcterms:created xsi:type="dcterms:W3CDTF">2023-10-08T23:46:00Z</dcterms:created>
  <dcterms:modified xsi:type="dcterms:W3CDTF">2023-10-08T23:48:00Z</dcterms:modified>
</cp:coreProperties>
</file>