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ED49E7" w14:textId="77777777" w:rsidR="009367B6" w:rsidRPr="009367B6" w:rsidRDefault="009367B6" w:rsidP="009367B6">
      <w:pPr>
        <w:spacing w:after="0" w:line="240" w:lineRule="auto"/>
        <w:jc w:val="center"/>
        <w:rPr>
          <w:rFonts w:ascii="Times New Roman" w:eastAsia="Times New Roman" w:hAnsi="Times New Roman" w:cs="Times New Roman"/>
          <w:sz w:val="24"/>
          <w:szCs w:val="24"/>
          <w:lang w:val="es-PE"/>
        </w:rPr>
      </w:pPr>
      <w:r w:rsidRPr="009367B6">
        <w:rPr>
          <w:rFonts w:ascii="Arial" w:eastAsia="Times New Roman" w:hAnsi="Arial" w:cs="Arial"/>
          <w:b/>
          <w:bCs/>
          <w:color w:val="000000"/>
          <w:sz w:val="20"/>
          <w:szCs w:val="20"/>
          <w:lang w:val="es-PE"/>
        </w:rPr>
        <w:t>MODELO DE ESTRUCTURA DEL PROTOCOLO DE INVESTIGACIÓN</w:t>
      </w:r>
    </w:p>
    <w:p w14:paraId="443915C8"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104DE69E" w14:textId="77777777" w:rsidR="009367B6" w:rsidRDefault="009367B6" w:rsidP="009367B6">
      <w:pPr>
        <w:spacing w:after="200" w:line="240" w:lineRule="auto"/>
        <w:jc w:val="both"/>
        <w:rPr>
          <w:rFonts w:ascii="Arial" w:eastAsia="Times New Roman" w:hAnsi="Arial" w:cs="Arial"/>
          <w:color w:val="000000"/>
          <w:sz w:val="20"/>
          <w:szCs w:val="20"/>
          <w:lang w:val="es-PE"/>
        </w:rPr>
      </w:pPr>
      <w:r w:rsidRPr="009367B6">
        <w:rPr>
          <w:rFonts w:ascii="Arial" w:eastAsia="Times New Roman" w:hAnsi="Arial" w:cs="Arial"/>
          <w:color w:val="1F497D"/>
          <w:sz w:val="20"/>
          <w:szCs w:val="20"/>
          <w:lang w:val="es-PE"/>
        </w:rPr>
        <w:t>1.</w:t>
      </w:r>
      <w:r w:rsidRPr="009367B6">
        <w:rPr>
          <w:rFonts w:ascii="Arial" w:eastAsia="Times New Roman" w:hAnsi="Arial" w:cs="Arial"/>
          <w:color w:val="000000"/>
          <w:sz w:val="20"/>
          <w:szCs w:val="20"/>
          <w:lang w:val="es-PE"/>
        </w:rPr>
        <w:t xml:space="preserve">  Título: </w:t>
      </w:r>
    </w:p>
    <w:p w14:paraId="5D0584F4" w14:textId="01CF7F29" w:rsidR="009367B6" w:rsidRPr="009367B6" w:rsidRDefault="009367B6" w:rsidP="009367B6">
      <w:pPr>
        <w:spacing w:after="200" w:line="240" w:lineRule="auto"/>
        <w:jc w:val="both"/>
        <w:rPr>
          <w:rFonts w:ascii="Times New Roman" w:eastAsia="Times New Roman" w:hAnsi="Times New Roman" w:cs="Times New Roman"/>
          <w:b/>
          <w:bCs/>
          <w:sz w:val="28"/>
          <w:szCs w:val="28"/>
          <w:lang w:val="es-PE"/>
        </w:rPr>
      </w:pPr>
      <w:r w:rsidRPr="009367B6">
        <w:rPr>
          <w:rFonts w:ascii="Arial" w:eastAsia="Times New Roman" w:hAnsi="Arial" w:cs="Arial"/>
          <w:b/>
          <w:bCs/>
          <w:color w:val="000000"/>
          <w:lang w:val="es-PE"/>
        </w:rPr>
        <w:t>Características clínicas y virológicas de los pacientes pediátricos con infección por COVID 19 atendidos en el Instituto Nacional de Salud del Niño de San Borja durante el periodo 2020 – 2021. </w:t>
      </w:r>
    </w:p>
    <w:p w14:paraId="37CA62AD"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2.  Resumen del proyecto </w:t>
      </w:r>
    </w:p>
    <w:p w14:paraId="6A385F1C"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Durante el 2020, se publicaron datos de comorbilidades y desenlaces en los pacientes hospitalizados en el INSN-SB. Sin embargo, durante el desarrollo de la pandemia se ha observado una variación en la presentación clínica de estos pacientes, registrándose una mayor letalidad a nivel nacional, frente a ello el presente proyecto tiene como objetivo identificar las características clínicas y virológicas en los pacientes pediátricos con infección de COVID – 19, durante el periodo 2020-2021.</w:t>
      </w:r>
    </w:p>
    <w:p w14:paraId="0FA5B454"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xml:space="preserve">En el presente estudio se recolectará los datos de los pacientes hospitalizados con diagnóstico confirmado de COVID-19 luego de lo cual se analizará las variables recolectadas para poder identificar el objetivo planteado mediante el uso del programa estadístico </w:t>
      </w:r>
      <w:proofErr w:type="spellStart"/>
      <w:r w:rsidRPr="009367B6">
        <w:rPr>
          <w:rFonts w:ascii="Arial" w:eastAsia="Times New Roman" w:hAnsi="Arial" w:cs="Arial"/>
          <w:color w:val="000000"/>
          <w:sz w:val="20"/>
          <w:szCs w:val="20"/>
          <w:lang w:val="es-PE"/>
        </w:rPr>
        <w:t>Epi</w:t>
      </w:r>
      <w:proofErr w:type="spellEnd"/>
      <w:r w:rsidRPr="009367B6">
        <w:rPr>
          <w:rFonts w:ascii="Arial" w:eastAsia="Times New Roman" w:hAnsi="Arial" w:cs="Arial"/>
          <w:color w:val="000000"/>
          <w:sz w:val="20"/>
          <w:szCs w:val="20"/>
          <w:lang w:val="es-PE"/>
        </w:rPr>
        <w:t xml:space="preserve">- </w:t>
      </w:r>
      <w:proofErr w:type="spellStart"/>
      <w:r w:rsidRPr="009367B6">
        <w:rPr>
          <w:rFonts w:ascii="Arial" w:eastAsia="Times New Roman" w:hAnsi="Arial" w:cs="Arial"/>
          <w:color w:val="000000"/>
          <w:sz w:val="20"/>
          <w:szCs w:val="20"/>
          <w:lang w:val="es-PE"/>
        </w:rPr>
        <w:t>info</w:t>
      </w:r>
      <w:proofErr w:type="spellEnd"/>
      <w:r w:rsidRPr="009367B6">
        <w:rPr>
          <w:rFonts w:ascii="Arial" w:eastAsia="Times New Roman" w:hAnsi="Arial" w:cs="Arial"/>
          <w:color w:val="000000"/>
          <w:sz w:val="20"/>
          <w:szCs w:val="20"/>
          <w:lang w:val="es-PE"/>
        </w:rPr>
        <w:t>, además se enviarán muestras del Servicio de Patología Clínica para el análisis de la variante genómica en la Universidad Cayetano Heredia. Finalmente, se presentarán los resultados para colaborar con nueva información que pueda apoyar en la vigilancia epidemiológica de los pacientes que requieren atención especializada.</w:t>
      </w:r>
    </w:p>
    <w:p w14:paraId="6303B75B"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209E0AC8"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3.  Introducción </w:t>
      </w:r>
    </w:p>
    <w:p w14:paraId="6A1063A2"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11CB3AE9"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ab/>
        <w:t>3.1 Planteamiento del problema </w:t>
      </w:r>
    </w:p>
    <w:p w14:paraId="3C9FB631"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Según la Organización Panamericana de la Salud, el primer caso de enfermedad por el nuevo Coronavirus (COVID-19) en la Región de las Américas se confirmó en Estados Unidos el 20 de enero del 2020 y Brasil notificó el primer caso en América Latina y el Caribe el 26 de febrero del 2020. </w:t>
      </w:r>
    </w:p>
    <w:p w14:paraId="561D3C75"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En el Perú hasta la semana epidemiológica (SE) 33-2021, se notificaron 2 178 939 casos, con una tasa de ataque de 6.68 x 100 habitantes y el número de defunciones confirmadas por COVID-19 fue de 199 485(1), con una tasa de letalidad acumulada de  9.16%. El mayor porcentaje de casos confirmados se presenta en los adultos (47.9%), seguido de los jóvenes (31.46%) y los adultos mayores (10.27%).</w:t>
      </w:r>
    </w:p>
    <w:p w14:paraId="3AA5395C"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A la fecha, cifras oficiales del MINSA reportan en el caso de pacientes pediátricos una mortalidad de 0.4% en pacientes de 0 a 11 años y 0.2% en adolescentes, siendo la mayor frecuencia de defunciones registradas en hospitales MINSA. Sin embargo, en los meses de enero a marzo del año 2021 se observa una tasa de letalidad de 0.69% en niños de 0 a 11 años comparado con 0.37% registrada el año pasado, por lo que es necesario evaluar qué factores podrían estar relacionados a este incremento (1).</w:t>
      </w:r>
    </w:p>
    <w:p w14:paraId="6F9644A1"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El espectro de presentación de la enfermedad por COVID-19 es muy variado, va desde la presentación asintomática hasta la neumonía con progresión rápida, insuficiencia respiratoria y fallecimiento. Sin embargo, la enfermedad leve a moderada es la presentación más común, representando aproximadamente al 80% de los casos. (2) </w:t>
      </w:r>
    </w:p>
    <w:p w14:paraId="72D3B5E4"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Los síntomas más comunes son fiebre, tos, dolor de garganta, dolor de cabeza, diarrea y dificultad para respirar. Otros síntomas comunes incluyen mialgias, dolor abdominal, rinorrea, mareos, anosmia y disgeusia.</w:t>
      </w:r>
    </w:p>
    <w:p w14:paraId="3EF5F120"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Las infecciones por COVID-19 suelen seguir 3 etapas progresivas:</w:t>
      </w:r>
    </w:p>
    <w:p w14:paraId="7C3037DB"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Fase 1: fase temprana, generalmente ocurre dentro de los días 0 a 5 días, e implica infiltración viral y replicación.</w:t>
      </w:r>
    </w:p>
    <w:p w14:paraId="60DBC797"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lastRenderedPageBreak/>
        <w:t>• Fases 2: fase pulmonar, se produce en los días 6 a 9, conduce a una posterior lesión e inflamación del tejido que da como resultado daño pulmonar y estrés cardiovascular.</w:t>
      </w:r>
    </w:p>
    <w:p w14:paraId="6A84CF95"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xml:space="preserve">• Etapa 3: la fase </w:t>
      </w:r>
      <w:proofErr w:type="spellStart"/>
      <w:r w:rsidRPr="009367B6">
        <w:rPr>
          <w:rFonts w:ascii="Arial" w:eastAsia="Times New Roman" w:hAnsi="Arial" w:cs="Arial"/>
          <w:color w:val="000000"/>
          <w:sz w:val="20"/>
          <w:szCs w:val="20"/>
          <w:lang w:val="es-PE"/>
        </w:rPr>
        <w:t>hiperinflamatoria</w:t>
      </w:r>
      <w:proofErr w:type="spellEnd"/>
      <w:r w:rsidRPr="009367B6">
        <w:rPr>
          <w:rFonts w:ascii="Arial" w:eastAsia="Times New Roman" w:hAnsi="Arial" w:cs="Arial"/>
          <w:color w:val="000000"/>
          <w:sz w:val="20"/>
          <w:szCs w:val="20"/>
          <w:lang w:val="es-PE"/>
        </w:rPr>
        <w:t>, una progresión de la etapa 2, que ocurre entre los días 10 y 14, implica una respuesta inflamatoria del huésped intensificada e inflamación sistémica progresiva. </w:t>
      </w:r>
    </w:p>
    <w:p w14:paraId="041C7E45"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Las diferencias significativas observadas en la prevalencia, gravedad y mortalidad de pacientes pediátricos con COVID-19 en comparación con los adultos muestra la necesidad de estudios dirigidos a conocer sobre la presentación clínica, factores de riesgo y mortalidad en nuestra población pediátrica para poder identificar tempranamente los casos severos, brindar tratamiento oportuno y así evitar secuelas que disminuyan la calidad de vida de nuestros pacientes.</w:t>
      </w:r>
    </w:p>
    <w:p w14:paraId="5424C933"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Esto tiene implicancias importantes, pues conocer que pacientes pueden tener casos más graves ayuda para la planificación de los servicios, ya que, aunque la demanda general de apoyo en la UCI podría ser menor, la estancia hospitalaria sería prolongada, en un país como el nuestro donde las camas en unidades de cuidados intensivos y el personal capacitado es escaso, es importante contar con esta información para poder administrar mejor los recursos.</w:t>
      </w:r>
    </w:p>
    <w:p w14:paraId="224782D8"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2C735FBA"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w:t>
      </w:r>
    </w:p>
    <w:p w14:paraId="612C3271"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ab/>
        <w:t>3.2 Justificación </w:t>
      </w:r>
    </w:p>
    <w:p w14:paraId="77980B03"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Actualmente, el CDC Perú reporta un incremento de la tasa de letalidad en la población pediátrica con respecto al año 2020, por lo que es importante identificar qué factores podrían estar asociados a este incremento y conocer si alguno de los factores que se presenten puede ser abordado, para lograr disminuir el avance de esta pandemia y la tasa de letalidad.</w:t>
      </w:r>
    </w:p>
    <w:p w14:paraId="1EEB7CDC"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El 26 de junio del 2021 se identificó el primer caso de la variante de preocupación Delta en el Perú (distrito de Comas), y hasta la SE 33 suman 144 casos a nivel nacional, 69 de estos casos pertenecen a Lima Metropolitana </w:t>
      </w:r>
    </w:p>
    <w:p w14:paraId="4B21C6AF"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Se buscará identificar las variantes de COVID -19 presentes en la población pediátrica y su relación con la presentación clínica de la enfermedad.  En la actualidad son pocos los estudios que asocian las variantes genómicas a los cuadros clínicos, y la información sobre las nuevas variantes y la población pediátrica es escasa, por lo que este estudio buscará aportar mayor conocimiento sobre este tema y analizar si existe alguna diferencia en la evolución de esta pandemia con respecto a las formas de presentación y severidad en esta población.</w:t>
      </w:r>
    </w:p>
    <w:p w14:paraId="69CFFB58"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Este estudio busca identificar las variables genómicas del virus y si existe relación con los casos más graves por COVID -19.  La identificación  permitirá el seguimiento adecuado de los pacientes que van a requerir admisión y monitoreo y cuales son los que tuvieron necesidad de admisión a unidades de cuidados intensivos.</w:t>
      </w:r>
    </w:p>
    <w:p w14:paraId="6AEA3BA7"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En el contexto de una pandemia es de suma importancia realizar una adecuada vigilancia epidemiológica relacionando variantes con el aspecto clínico, ello nos brindará mayor información para la toma de decisiones y el impacto del virus en la población pediátrica. </w:t>
      </w:r>
    </w:p>
    <w:p w14:paraId="36FF69F5"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7F90B23E"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4.  Antecedentes de la investigación </w:t>
      </w:r>
    </w:p>
    <w:p w14:paraId="6D12F759"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Hay datos limitados sobre la patogenia y el espectro clínico de la enfermedad por COVID-19 en niños, además no hay datos pediátricos de ensayos clínicos aleatorizados controlados con placebo y existen datos limitados de estudios observacionales para informar el desarrollo de recomendaciones pediátricas específicas para el tratamiento de COVID-19(3).</w:t>
      </w:r>
    </w:p>
    <w:p w14:paraId="0BA7F0DE"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lastRenderedPageBreak/>
        <w:t>Se han descrito síntomas persistentes después del COVID-19 agudo en adultos, aunque se desconoce la incidencia de estas secuelas en niños. Múltiples estudios han descrito no sólo las manifestaciones clínicas más comunes, sino también las comorbilidades más frecuentes asociadas a COVID – 19.</w:t>
      </w:r>
    </w:p>
    <w:p w14:paraId="44D03EE7"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xml:space="preserve">Informes iniciales sobre el síndrome respiratorio agudo severo por COVID -19 en niños sugirió que la edad muy temprana y las comorbilidades pueden aumentar el riesgo de evolución severa, pero estos hallazgos aún no se han confirmado. Un estudio en Italia(5) evaluó de manera prospectiva a niños en 60 hospitales con diagnóstico confirmado de COVID -19, identificando varios patrones clínicos, que van desde niños </w:t>
      </w:r>
      <w:proofErr w:type="spellStart"/>
      <w:r w:rsidRPr="009367B6">
        <w:rPr>
          <w:rFonts w:ascii="Arial" w:eastAsia="Times New Roman" w:hAnsi="Arial" w:cs="Arial"/>
          <w:color w:val="000000"/>
          <w:sz w:val="20"/>
          <w:szCs w:val="20"/>
          <w:lang w:val="es-PE"/>
        </w:rPr>
        <w:t>paucisintomáticos</w:t>
      </w:r>
      <w:proofErr w:type="spellEnd"/>
      <w:r w:rsidRPr="009367B6">
        <w:rPr>
          <w:rFonts w:ascii="Arial" w:eastAsia="Times New Roman" w:hAnsi="Arial" w:cs="Arial"/>
          <w:color w:val="000000"/>
          <w:sz w:val="20"/>
          <w:szCs w:val="20"/>
          <w:lang w:val="es-PE"/>
        </w:rPr>
        <w:t>, ingresados para vigilancia, hasta niños con infección del tracto respiratorio inferior o con síndrome inflamatorio multisistémico.</w:t>
      </w:r>
    </w:p>
    <w:p w14:paraId="0409FDFC"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La enfermedad fue moderada en 32.4% de los casos y severa en 4.3%, particularmente en niños menores de 6 años. De los pacientes hospitalizados solo el 3.5% requirió admisión a la unidad de cuidados intensivos. El bajo riesgo de enfermedad severa fue asociado con mayor edad, siendo los menores de 1 año los que presentaron casos más severos, y el mayor riesgo estuvo asociado a comorbilidades previas. Este estudio coincide con la mayoría realizados en población pediátrica donde se observa que la presencia de patologías previas tiene mayor riesgo de hacer enfermedad severa, sin embargo, hay casos reportados de casos severos hasta fatales en pacientes donde no se identificó una comorbilidad previa(5).</w:t>
      </w:r>
    </w:p>
    <w:p w14:paraId="0E616CC4"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xml:space="preserve">A pesar de estos datos, otro estudio también en Italia arrojó resultados distintos, pues encontraron que la edad era inversamente proporcional a la necesidad de hospitalización, y los casos más severos fueron entre los 5 y 9 años en comparación con el estudio previo mencionado. De igual manera registran que las comorbilidades se asociaban a casos más severos y además identifican las infecciones </w:t>
      </w:r>
      <w:proofErr w:type="spellStart"/>
      <w:r w:rsidRPr="009367B6">
        <w:rPr>
          <w:rFonts w:ascii="Arial" w:eastAsia="Times New Roman" w:hAnsi="Arial" w:cs="Arial"/>
          <w:color w:val="000000"/>
          <w:sz w:val="20"/>
          <w:szCs w:val="20"/>
          <w:lang w:val="es-PE"/>
        </w:rPr>
        <w:t>covirales</w:t>
      </w:r>
      <w:proofErr w:type="spellEnd"/>
      <w:r w:rsidRPr="009367B6">
        <w:rPr>
          <w:rFonts w:ascii="Arial" w:eastAsia="Times New Roman" w:hAnsi="Arial" w:cs="Arial"/>
          <w:color w:val="000000"/>
          <w:sz w:val="20"/>
          <w:szCs w:val="20"/>
          <w:lang w:val="es-PE"/>
        </w:rPr>
        <w:t xml:space="preserve"> y </w:t>
      </w:r>
      <w:proofErr w:type="spellStart"/>
      <w:r w:rsidRPr="009367B6">
        <w:rPr>
          <w:rFonts w:ascii="Arial" w:eastAsia="Times New Roman" w:hAnsi="Arial" w:cs="Arial"/>
          <w:color w:val="000000"/>
          <w:sz w:val="20"/>
          <w:szCs w:val="20"/>
          <w:lang w:val="es-PE"/>
        </w:rPr>
        <w:t>linfopenia</w:t>
      </w:r>
      <w:proofErr w:type="spellEnd"/>
      <w:r w:rsidRPr="009367B6">
        <w:rPr>
          <w:rFonts w:ascii="Arial" w:eastAsia="Times New Roman" w:hAnsi="Arial" w:cs="Arial"/>
          <w:color w:val="000000"/>
          <w:sz w:val="20"/>
          <w:szCs w:val="20"/>
          <w:lang w:val="es-PE"/>
        </w:rPr>
        <w:t xml:space="preserve"> como factores de riesgo para ingreso a la unidad de cuidados intensivos(6).</w:t>
      </w:r>
    </w:p>
    <w:p w14:paraId="4A9641DE"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Otros estudios no asocian solo comorbilidades sino características laboratoriales, las cuales han sido estudiadas ampliamente en adultos, un estudio encontró asociación entre mayor severidad y valores elevados de proteína C reactiva, procalcitonina, péptido natriurético tipo B y disminución de plaquetas a necesidad de mayor soporte ventilatorio, desde cánula de alto flujo hasta ventilación mecánica invasiva (7). </w:t>
      </w:r>
    </w:p>
    <w:p w14:paraId="0169B100"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xml:space="preserve">Los pacientes pediátricos tienen además una presentación que no se ha asociado a los adultos con esta enfermedad: el síndrome inflamatorio multisistémico. En España, este síndrome es la causa más frecuente de casos severos que requiere admisión en una unidad de cuidados intensivos. Este síndrome se caracteriza por fiebre, hipotensión, síntomas gastrointestinales y manifestaciones cutáneas con elevación de marcadores inflamatorios junto con </w:t>
      </w:r>
      <w:proofErr w:type="spellStart"/>
      <w:r w:rsidRPr="009367B6">
        <w:rPr>
          <w:rFonts w:ascii="Arial" w:eastAsia="Times New Roman" w:hAnsi="Arial" w:cs="Arial"/>
          <w:color w:val="000000"/>
          <w:sz w:val="20"/>
          <w:szCs w:val="20"/>
          <w:lang w:val="es-PE"/>
        </w:rPr>
        <w:t>linfopenia</w:t>
      </w:r>
      <w:proofErr w:type="spellEnd"/>
      <w:r w:rsidRPr="009367B6">
        <w:rPr>
          <w:rFonts w:ascii="Arial" w:eastAsia="Times New Roman" w:hAnsi="Arial" w:cs="Arial"/>
          <w:color w:val="000000"/>
          <w:sz w:val="20"/>
          <w:szCs w:val="20"/>
          <w:lang w:val="es-PE"/>
        </w:rPr>
        <w:t xml:space="preserve"> importante, requiriendo terapia vasoactiva. El curso de este síndrome es generalmente favorable, sin embargo, queda pendiente identificar que condiciona a que algunos de los pacientes presenten este síndrome ya que la morbilidad es más elevada (8).</w:t>
      </w:r>
    </w:p>
    <w:p w14:paraId="4EB80E30"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Es importante destacar que los datos en general muestran que el COVID-19 grave puede ocurrir tanto en niños pequeños como en adolescentes, y que una proporción significativa de esos pacientes requiere apoyo en la UCI, que con frecuencia incluye ventilación mecánica. Un estudio multicéntrico en Europa mostró que tener menos de 1 mes, la presencia de signos o síntomas de infección del tracto respiratorio inferior en el momento de la presentación y la presencia de una afección médica preexistente, se asociaron con una mayor probabilidad de requerir ingreso en la UCI. Además, muestran que la mayoría de los niños intubados debido a insuficiencia respiratoria requieren ventilación prolongada, a menudo durante una semana o más. Esto contrasta con las observaciones en niños con infección por VSR que, en promedio, solo requieren ventilación mecánica durante 5-7 días (9).</w:t>
      </w:r>
    </w:p>
    <w:p w14:paraId="06052255"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Conforme ha avanzado la pandemia tenemos acceso a más información sobre el comportamiento de este virus, en ese sentido comienza a tomar importancia su comportamiento en el tiempo y con esto se agrega el conocimiento de la existencia de diferentes variantes, encontrándose en estudios su importancia a nivel clínico y de transmisibilidad. Inicialmente los niños fueron considerados los principales transmisores asintomáticos de la enfermedad, sin embargo, un estudio italiano no muestra diferencia con respecto a los adultos (10).</w:t>
      </w:r>
    </w:p>
    <w:p w14:paraId="0E02BC1F"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lastRenderedPageBreak/>
        <w:t>Una de las variantes más estudiadas, es la B.1.1.7, la cual fue identificada en Inglaterra y al momento 98% de sus casos positivos se deben a esta variante. Se estima que se reproduce más rápido que otras variantes y se ha asociado al incremento de casos en este país y a mayor mortalidad. Sin embargo información de la segunda ola en Inglaterra en pacientes pediátricos (11), donde se observa un incremento de casos, no se ha encontrado evidencia de mayor severidad, lo que sugiere que la infección con la variante B.1.1.1 no resulta en una diferencia de la evolución de la enfermedad con respecto a la variable original. Sin embargo, en la población en general, estudios han demostrado que el riesgo de casos fatales con esta nueva variante se incrementa de 2.5 a 4.1 por cada 1000 casos detectados.</w:t>
      </w:r>
    </w:p>
    <w:p w14:paraId="19F7AF4E"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En nuestro país, se han llevado a cabo estudios que en su mayoría describen las características clínicas y la evolución de la enfermedad, sin embargo, la cantidad de casos severos no es muy alta, los criterios de severidad varían y no existe una clara asociación que establezca la presentación de casos severos. Además, existe una brecha de conocimiento con respecto a que factores están asociados al incremento de la letalidad en esta segunda ola. Las posibilidades son varias, desde el acceso temprano a un establecimiento de salud, hasta la posibilidad de la presencia de nuevas variantes que sean más agresivas y transmisibles.</w:t>
      </w:r>
    </w:p>
    <w:p w14:paraId="4E0D0619"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lang w:val="es-PE"/>
        </w:rPr>
        <w:t>  </w:t>
      </w:r>
      <w:r w:rsidRPr="009367B6">
        <w:rPr>
          <w:rFonts w:ascii="Arial" w:eastAsia="Times New Roman" w:hAnsi="Arial" w:cs="Arial"/>
          <w:color w:val="000000"/>
          <w:sz w:val="20"/>
          <w:szCs w:val="20"/>
        </w:rPr>
        <w:t>5.  Objetivos (general y específicos)</w:t>
      </w:r>
    </w:p>
    <w:p w14:paraId="64AFC0DA" w14:textId="77777777" w:rsidR="009367B6" w:rsidRPr="009367B6" w:rsidRDefault="009367B6" w:rsidP="009367B6">
      <w:pPr>
        <w:numPr>
          <w:ilvl w:val="0"/>
          <w:numId w:val="1"/>
        </w:numPr>
        <w:spacing w:before="200" w:after="0" w:line="240" w:lineRule="auto"/>
        <w:ind w:left="936"/>
        <w:textAlignment w:val="baseline"/>
        <w:outlineLvl w:val="1"/>
        <w:rPr>
          <w:rFonts w:ascii="Arial" w:eastAsia="Times New Roman" w:hAnsi="Arial" w:cs="Arial"/>
          <w:b/>
          <w:bCs/>
          <w:color w:val="000000"/>
          <w:sz w:val="36"/>
          <w:szCs w:val="36"/>
        </w:rPr>
      </w:pPr>
      <w:r w:rsidRPr="009367B6">
        <w:rPr>
          <w:rFonts w:ascii="Arial" w:eastAsia="Times New Roman" w:hAnsi="Arial" w:cs="Arial"/>
          <w:color w:val="000000"/>
          <w:sz w:val="20"/>
          <w:szCs w:val="20"/>
        </w:rPr>
        <w:t>Objetivo general </w:t>
      </w:r>
    </w:p>
    <w:p w14:paraId="458647E2" w14:textId="77777777" w:rsidR="009367B6" w:rsidRPr="009367B6" w:rsidRDefault="009367B6" w:rsidP="009367B6">
      <w:pPr>
        <w:numPr>
          <w:ilvl w:val="0"/>
          <w:numId w:val="2"/>
        </w:numPr>
        <w:spacing w:after="0" w:line="240" w:lineRule="auto"/>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Identificar las características clínicas y virológicas de los pacientes pediátricos con infección por COVID 19 atendidos en el Instituto Nacional de Salud del Niño de San Borja durante el periodo 2020 al 2021</w:t>
      </w:r>
    </w:p>
    <w:p w14:paraId="4B807707"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r w:rsidRPr="009367B6">
        <w:rPr>
          <w:rFonts w:ascii="Times New Roman" w:eastAsia="Times New Roman" w:hAnsi="Times New Roman" w:cs="Times New Roman"/>
          <w:sz w:val="24"/>
          <w:szCs w:val="24"/>
          <w:lang w:val="es-PE"/>
        </w:rPr>
        <w:br/>
      </w:r>
    </w:p>
    <w:p w14:paraId="1A631DCA" w14:textId="77777777" w:rsidR="009367B6" w:rsidRPr="009367B6" w:rsidRDefault="009367B6" w:rsidP="009367B6">
      <w:pPr>
        <w:numPr>
          <w:ilvl w:val="0"/>
          <w:numId w:val="3"/>
        </w:numPr>
        <w:spacing w:before="200" w:after="0" w:line="240" w:lineRule="auto"/>
        <w:ind w:left="936"/>
        <w:jc w:val="both"/>
        <w:textAlignment w:val="baseline"/>
        <w:outlineLvl w:val="1"/>
        <w:rPr>
          <w:rFonts w:ascii="Arial" w:eastAsia="Times New Roman" w:hAnsi="Arial" w:cs="Arial"/>
          <w:b/>
          <w:bCs/>
          <w:color w:val="000000"/>
          <w:sz w:val="36"/>
          <w:szCs w:val="36"/>
        </w:rPr>
      </w:pPr>
      <w:r w:rsidRPr="009367B6">
        <w:rPr>
          <w:rFonts w:ascii="Arial" w:eastAsia="Times New Roman" w:hAnsi="Arial" w:cs="Arial"/>
          <w:color w:val="000000"/>
          <w:sz w:val="20"/>
          <w:szCs w:val="20"/>
        </w:rPr>
        <w:t>Objetivos específicos </w:t>
      </w:r>
    </w:p>
    <w:p w14:paraId="677A847B" w14:textId="77777777" w:rsidR="009367B6" w:rsidRPr="009367B6" w:rsidRDefault="009367B6" w:rsidP="009367B6">
      <w:pPr>
        <w:numPr>
          <w:ilvl w:val="0"/>
          <w:numId w:val="4"/>
        </w:numPr>
        <w:spacing w:after="0" w:line="240" w:lineRule="auto"/>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Comparar las características clínicas entre los casos severos y no severos de COVID 19 en niños</w:t>
      </w:r>
    </w:p>
    <w:p w14:paraId="62394211" w14:textId="77777777" w:rsidR="009367B6" w:rsidRPr="009367B6" w:rsidRDefault="009367B6" w:rsidP="009367B6">
      <w:pPr>
        <w:numPr>
          <w:ilvl w:val="0"/>
          <w:numId w:val="4"/>
        </w:numPr>
        <w:spacing w:after="0" w:line="240" w:lineRule="auto"/>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 xml:space="preserve">Identificar las variantes genómicas del SARS- </w:t>
      </w:r>
      <w:proofErr w:type="spellStart"/>
      <w:r w:rsidRPr="009367B6">
        <w:rPr>
          <w:rFonts w:ascii="Arial" w:eastAsia="Times New Roman" w:hAnsi="Arial" w:cs="Arial"/>
          <w:color w:val="000000"/>
          <w:sz w:val="20"/>
          <w:szCs w:val="20"/>
          <w:lang w:val="es-PE"/>
        </w:rPr>
        <w:t>CoV</w:t>
      </w:r>
      <w:proofErr w:type="spellEnd"/>
      <w:r w:rsidRPr="009367B6">
        <w:rPr>
          <w:rFonts w:ascii="Arial" w:eastAsia="Times New Roman" w:hAnsi="Arial" w:cs="Arial"/>
          <w:color w:val="000000"/>
          <w:sz w:val="20"/>
          <w:szCs w:val="20"/>
          <w:lang w:val="es-PE"/>
        </w:rPr>
        <w:t>- 2 presentes en los pacientes hospitalizados</w:t>
      </w:r>
    </w:p>
    <w:p w14:paraId="49A868C8" w14:textId="77777777" w:rsidR="009367B6" w:rsidRPr="009367B6" w:rsidRDefault="009367B6" w:rsidP="009367B6">
      <w:pPr>
        <w:numPr>
          <w:ilvl w:val="0"/>
          <w:numId w:val="4"/>
        </w:numPr>
        <w:spacing w:after="0" w:line="240" w:lineRule="auto"/>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Describir las complicaciones más frecuentes en pacientes pediátricos con cuadros severos de COVID 19</w:t>
      </w:r>
    </w:p>
    <w:p w14:paraId="5CC89BFE" w14:textId="77777777" w:rsidR="009367B6" w:rsidRPr="009367B6" w:rsidRDefault="009367B6" w:rsidP="009367B6">
      <w:pPr>
        <w:numPr>
          <w:ilvl w:val="0"/>
          <w:numId w:val="4"/>
        </w:numPr>
        <w:spacing w:after="0" w:line="240" w:lineRule="auto"/>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Describir los desenlaces de pacientes pediátricos con diagnóstico de COVID 19</w:t>
      </w:r>
    </w:p>
    <w:p w14:paraId="1715493A" w14:textId="77777777" w:rsidR="009367B6" w:rsidRPr="009367B6" w:rsidRDefault="009367B6" w:rsidP="009367B6">
      <w:pPr>
        <w:numPr>
          <w:ilvl w:val="0"/>
          <w:numId w:val="4"/>
        </w:numPr>
        <w:spacing w:after="0" w:line="240" w:lineRule="auto"/>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Determinar la asociación entre comorbilidades y la necesidad de ingreso a UCI</w:t>
      </w:r>
    </w:p>
    <w:p w14:paraId="26A6E367" w14:textId="77777777" w:rsidR="009367B6" w:rsidRPr="009367B6" w:rsidRDefault="009367B6" w:rsidP="009367B6">
      <w:pPr>
        <w:numPr>
          <w:ilvl w:val="0"/>
          <w:numId w:val="4"/>
        </w:numPr>
        <w:spacing w:after="0" w:line="240" w:lineRule="auto"/>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Determinar cambios en los factores de riesgo y mortalidad en el tiempo entre el año 2020 y 2021</w:t>
      </w:r>
    </w:p>
    <w:p w14:paraId="6B6EBC22"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12345CC4"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 </w:t>
      </w:r>
    </w:p>
    <w:p w14:paraId="7DD77AC7"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4E8E319B"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lang w:val="es-PE"/>
        </w:rPr>
        <w:t>  </w:t>
      </w:r>
      <w:r w:rsidRPr="009367B6">
        <w:rPr>
          <w:rFonts w:ascii="Arial" w:eastAsia="Times New Roman" w:hAnsi="Arial" w:cs="Arial"/>
          <w:color w:val="000000"/>
          <w:sz w:val="20"/>
          <w:szCs w:val="20"/>
        </w:rPr>
        <w:t>6. Metodología</w:t>
      </w:r>
    </w:p>
    <w:p w14:paraId="4011F754" w14:textId="77777777" w:rsidR="009367B6" w:rsidRPr="009367B6" w:rsidRDefault="009367B6" w:rsidP="009367B6">
      <w:pPr>
        <w:numPr>
          <w:ilvl w:val="0"/>
          <w:numId w:val="5"/>
        </w:numPr>
        <w:spacing w:after="0" w:line="240" w:lineRule="auto"/>
        <w:ind w:left="851"/>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Diseño del estudio:</w:t>
      </w:r>
    </w:p>
    <w:p w14:paraId="0C4A1A33" w14:textId="77777777" w:rsidR="009367B6" w:rsidRPr="009367B6" w:rsidRDefault="009367B6" w:rsidP="009367B6">
      <w:pPr>
        <w:spacing w:after="20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El tipo de estudio a realizar es un observacional descriptivo retrospectivo mediante el estudio de muestras positivas para COVID 19 en la cual se identificarán las variantes genéticas del virus y posterior a ello se hará la correlación con las características clínicas de la enfermedad.</w:t>
      </w:r>
    </w:p>
    <w:p w14:paraId="11DBD159" w14:textId="77777777" w:rsidR="009367B6" w:rsidRPr="009367B6" w:rsidRDefault="009367B6" w:rsidP="009367B6">
      <w:pPr>
        <w:numPr>
          <w:ilvl w:val="0"/>
          <w:numId w:val="6"/>
        </w:numPr>
        <w:spacing w:after="0" w:line="240" w:lineRule="auto"/>
        <w:ind w:left="851"/>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Población de estudio y tamaño de muestra</w:t>
      </w:r>
    </w:p>
    <w:p w14:paraId="38FB0D5D"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Población pediátrica hospitalizada con diagnóstico de COVID- 19 entre marzo 2020 hasta Junio 2021 en el Instituto Nacional de Salud del Niño- San Borja.</w:t>
      </w:r>
    </w:p>
    <w:p w14:paraId="123C6DF2"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3352A97E"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Tamaño de muestra: 100. </w:t>
      </w:r>
    </w:p>
    <w:p w14:paraId="053D12AE"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Times New Roman" w:eastAsia="Times New Roman" w:hAnsi="Times New Roman" w:cs="Times New Roman"/>
          <w:sz w:val="24"/>
          <w:szCs w:val="24"/>
        </w:rPr>
        <w:br/>
      </w:r>
    </w:p>
    <w:p w14:paraId="130250C4" w14:textId="77777777" w:rsidR="009367B6" w:rsidRPr="009367B6" w:rsidRDefault="009367B6" w:rsidP="009367B6">
      <w:pPr>
        <w:numPr>
          <w:ilvl w:val="0"/>
          <w:numId w:val="7"/>
        </w:numPr>
        <w:spacing w:after="0" w:line="240" w:lineRule="auto"/>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Criterios de inclusión: </w:t>
      </w:r>
    </w:p>
    <w:p w14:paraId="5AE1217B" w14:textId="77777777" w:rsidR="009367B6" w:rsidRPr="009367B6" w:rsidRDefault="009367B6" w:rsidP="009367B6">
      <w:pPr>
        <w:spacing w:after="0" w:line="240" w:lineRule="auto"/>
        <w:ind w:left="720"/>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Pacientes pediátricos positivos para COVID 19 mediante prueba molecular. </w:t>
      </w:r>
    </w:p>
    <w:p w14:paraId="09CE40F5"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r w:rsidRPr="009367B6">
        <w:rPr>
          <w:rFonts w:ascii="Times New Roman" w:eastAsia="Times New Roman" w:hAnsi="Times New Roman" w:cs="Times New Roman"/>
          <w:sz w:val="24"/>
          <w:szCs w:val="24"/>
          <w:lang w:val="es-PE"/>
        </w:rPr>
        <w:lastRenderedPageBreak/>
        <w:br/>
      </w:r>
      <w:r w:rsidRPr="009367B6">
        <w:rPr>
          <w:rFonts w:ascii="Times New Roman" w:eastAsia="Times New Roman" w:hAnsi="Times New Roman" w:cs="Times New Roman"/>
          <w:sz w:val="24"/>
          <w:szCs w:val="24"/>
          <w:lang w:val="es-PE"/>
        </w:rPr>
        <w:br/>
      </w:r>
    </w:p>
    <w:p w14:paraId="489E9F3D" w14:textId="77777777" w:rsidR="009367B6" w:rsidRPr="009367B6" w:rsidRDefault="009367B6" w:rsidP="009367B6">
      <w:pPr>
        <w:numPr>
          <w:ilvl w:val="0"/>
          <w:numId w:val="8"/>
        </w:numPr>
        <w:spacing w:after="0" w:line="240" w:lineRule="auto"/>
        <w:ind w:left="851"/>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Variables de interés (o variables a ser medidas)</w:t>
      </w:r>
    </w:p>
    <w:p w14:paraId="084FD5C2"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79C82AD8" w14:textId="77777777" w:rsidR="009367B6" w:rsidRPr="009367B6" w:rsidRDefault="009367B6" w:rsidP="009367B6">
      <w:pPr>
        <w:spacing w:after="20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Dependiente</w:t>
      </w:r>
    </w:p>
    <w:tbl>
      <w:tblPr>
        <w:tblW w:w="0" w:type="auto"/>
        <w:tblCellMar>
          <w:top w:w="15" w:type="dxa"/>
          <w:left w:w="15" w:type="dxa"/>
          <w:bottom w:w="15" w:type="dxa"/>
          <w:right w:w="15" w:type="dxa"/>
        </w:tblCellMar>
        <w:tblLook w:val="04A0" w:firstRow="1" w:lastRow="0" w:firstColumn="1" w:lastColumn="0" w:noHBand="0" w:noVBand="1"/>
      </w:tblPr>
      <w:tblGrid>
        <w:gridCol w:w="1866"/>
        <w:gridCol w:w="2159"/>
        <w:gridCol w:w="2502"/>
        <w:gridCol w:w="1106"/>
        <w:gridCol w:w="1717"/>
      </w:tblGrid>
      <w:tr w:rsidR="009367B6" w:rsidRPr="009367B6" w14:paraId="46CEA0A1" w14:textId="77777777" w:rsidTr="009367B6">
        <w:trPr>
          <w:trHeight w:val="599"/>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20A997"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Arial" w:eastAsia="Times New Roman" w:hAnsi="Arial" w:cs="Arial"/>
                <w:color w:val="000000"/>
                <w:sz w:val="20"/>
                <w:szCs w:val="20"/>
              </w:rPr>
              <w:t>Variable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16C8EA"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Arial" w:eastAsia="Times New Roman" w:hAnsi="Arial" w:cs="Arial"/>
                <w:color w:val="000000"/>
                <w:sz w:val="20"/>
                <w:szCs w:val="20"/>
              </w:rPr>
              <w:t>Indicador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26A8A7"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Arial" w:eastAsia="Times New Roman" w:hAnsi="Arial" w:cs="Arial"/>
                <w:color w:val="000000"/>
                <w:sz w:val="20"/>
                <w:szCs w:val="20"/>
              </w:rPr>
              <w:t>Categoría o valor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20DB06"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Arial" w:eastAsia="Times New Roman" w:hAnsi="Arial" w:cs="Arial"/>
                <w:color w:val="000000"/>
                <w:sz w:val="20"/>
                <w:szCs w:val="20"/>
              </w:rPr>
              <w:t>Tipo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F2C2D"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Arial" w:eastAsia="Times New Roman" w:hAnsi="Arial" w:cs="Arial"/>
                <w:color w:val="000000"/>
                <w:sz w:val="20"/>
                <w:szCs w:val="20"/>
              </w:rPr>
              <w:t>Escala</w:t>
            </w:r>
          </w:p>
        </w:tc>
      </w:tr>
      <w:tr w:rsidR="009367B6" w:rsidRPr="009367B6" w14:paraId="581FBE96" w14:textId="77777777" w:rsidTr="009367B6">
        <w:trPr>
          <w:trHeight w:val="2979"/>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F508A4"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Arial" w:eastAsia="Times New Roman" w:hAnsi="Arial" w:cs="Arial"/>
                <w:color w:val="000000"/>
                <w:sz w:val="20"/>
                <w:szCs w:val="20"/>
              </w:rPr>
              <w:t>Casos graves de COVID - 19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5978B5"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Arial" w:eastAsia="Times New Roman" w:hAnsi="Arial" w:cs="Arial"/>
                <w:color w:val="000000"/>
                <w:sz w:val="20"/>
                <w:szCs w:val="20"/>
              </w:rPr>
              <w:t>Necesidad de hospitalización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789EC7"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Hospitalización prolongada (&gt;7 días)</w:t>
            </w:r>
          </w:p>
          <w:p w14:paraId="6B702F34"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Uso de soporte ventilatorio</w:t>
            </w:r>
          </w:p>
          <w:p w14:paraId="49CFC1D8"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Uso de soporte hemodinámico</w:t>
            </w:r>
          </w:p>
          <w:p w14:paraId="424C614C"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Fallecido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3D74AF"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Arial" w:eastAsia="Times New Roman" w:hAnsi="Arial" w:cs="Arial"/>
                <w:color w:val="000000"/>
                <w:sz w:val="20"/>
                <w:szCs w:val="20"/>
              </w:rPr>
              <w:t>cualitativo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B20968"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Arial" w:eastAsia="Times New Roman" w:hAnsi="Arial" w:cs="Arial"/>
                <w:color w:val="000000"/>
                <w:sz w:val="20"/>
                <w:szCs w:val="20"/>
              </w:rPr>
              <w:t>Nominal policotómica</w:t>
            </w:r>
          </w:p>
        </w:tc>
      </w:tr>
    </w:tbl>
    <w:p w14:paraId="54DF583B" w14:textId="77777777" w:rsidR="009367B6" w:rsidRPr="009367B6" w:rsidRDefault="009367B6" w:rsidP="009367B6">
      <w:pPr>
        <w:spacing w:after="240" w:line="240" w:lineRule="auto"/>
        <w:rPr>
          <w:rFonts w:ascii="Times New Roman" w:eastAsia="Times New Roman" w:hAnsi="Times New Roman" w:cs="Times New Roman"/>
          <w:sz w:val="24"/>
          <w:szCs w:val="24"/>
        </w:rPr>
      </w:pPr>
    </w:p>
    <w:p w14:paraId="1748C42D" w14:textId="77777777" w:rsidR="009367B6" w:rsidRPr="009367B6" w:rsidRDefault="009367B6" w:rsidP="009367B6">
      <w:pPr>
        <w:spacing w:after="20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Independientes</w:t>
      </w:r>
    </w:p>
    <w:tbl>
      <w:tblPr>
        <w:tblW w:w="0" w:type="auto"/>
        <w:tblCellMar>
          <w:top w:w="15" w:type="dxa"/>
          <w:left w:w="15" w:type="dxa"/>
          <w:bottom w:w="15" w:type="dxa"/>
          <w:right w:w="15" w:type="dxa"/>
        </w:tblCellMar>
        <w:tblLook w:val="04A0" w:firstRow="1" w:lastRow="0" w:firstColumn="1" w:lastColumn="0" w:noHBand="0" w:noVBand="1"/>
      </w:tblPr>
      <w:tblGrid>
        <w:gridCol w:w="1676"/>
        <w:gridCol w:w="2113"/>
        <w:gridCol w:w="2500"/>
        <w:gridCol w:w="1273"/>
        <w:gridCol w:w="1788"/>
      </w:tblGrid>
      <w:tr w:rsidR="009367B6" w:rsidRPr="009367B6" w14:paraId="4EF1A746"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9AA5AC"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Variable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D2A196"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Indicador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8DB2C2"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Categoría o valor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0FB052"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Tipo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EBE660"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Escala</w:t>
            </w:r>
          </w:p>
        </w:tc>
      </w:tr>
      <w:tr w:rsidR="009367B6" w:rsidRPr="009367B6" w14:paraId="11E07B23"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AAFD53"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Edad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C52B46"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Años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19F944"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Años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7C8190"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Cuantitativo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8365AC"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Discreta </w:t>
            </w:r>
          </w:p>
        </w:tc>
      </w:tr>
      <w:tr w:rsidR="009367B6" w:rsidRPr="009367B6" w14:paraId="72BBF53D"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E0A6BC"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Sexo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695CE8"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Género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1DE541" w14:textId="77777777" w:rsidR="009367B6" w:rsidRPr="009367B6" w:rsidRDefault="009367B6" w:rsidP="009367B6">
            <w:pPr>
              <w:numPr>
                <w:ilvl w:val="0"/>
                <w:numId w:val="9"/>
              </w:numPr>
              <w:spacing w:after="0" w:line="240" w:lineRule="auto"/>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Masculino</w:t>
            </w:r>
          </w:p>
          <w:p w14:paraId="0AF0D891" w14:textId="77777777" w:rsidR="009367B6" w:rsidRPr="009367B6" w:rsidRDefault="009367B6" w:rsidP="009367B6">
            <w:pPr>
              <w:numPr>
                <w:ilvl w:val="0"/>
                <w:numId w:val="9"/>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Femenino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B0E028"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Cualitativo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944230"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Nominal Dicotómico</w:t>
            </w:r>
          </w:p>
        </w:tc>
      </w:tr>
      <w:tr w:rsidR="009367B6" w:rsidRPr="009367B6" w14:paraId="51137828"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BC2224"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Comorbilidad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769804"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Presencia de patologías previas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B2C298" w14:textId="77777777" w:rsidR="009367B6" w:rsidRPr="009367B6" w:rsidRDefault="009367B6" w:rsidP="009367B6">
            <w:pPr>
              <w:numPr>
                <w:ilvl w:val="0"/>
                <w:numId w:val="1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Enfermedad cardiológica</w:t>
            </w:r>
          </w:p>
          <w:p w14:paraId="5BE025B2" w14:textId="77777777" w:rsidR="009367B6" w:rsidRPr="009367B6" w:rsidRDefault="009367B6" w:rsidP="009367B6">
            <w:pPr>
              <w:numPr>
                <w:ilvl w:val="0"/>
                <w:numId w:val="1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Enfermedad hepática</w:t>
            </w:r>
          </w:p>
          <w:p w14:paraId="41130DC2" w14:textId="77777777" w:rsidR="009367B6" w:rsidRPr="009367B6" w:rsidRDefault="009367B6" w:rsidP="009367B6">
            <w:pPr>
              <w:numPr>
                <w:ilvl w:val="0"/>
                <w:numId w:val="1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Enfermedad neurológica</w:t>
            </w:r>
          </w:p>
          <w:p w14:paraId="13039B21" w14:textId="77777777" w:rsidR="009367B6" w:rsidRPr="009367B6" w:rsidRDefault="009367B6" w:rsidP="009367B6">
            <w:pPr>
              <w:numPr>
                <w:ilvl w:val="0"/>
                <w:numId w:val="1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Enfermedad nefrológica</w:t>
            </w:r>
          </w:p>
          <w:p w14:paraId="0C62F7B0" w14:textId="77777777" w:rsidR="009367B6" w:rsidRPr="009367B6" w:rsidRDefault="009367B6" w:rsidP="009367B6">
            <w:pPr>
              <w:numPr>
                <w:ilvl w:val="0"/>
                <w:numId w:val="1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Enfermedad neumológica</w:t>
            </w:r>
          </w:p>
          <w:p w14:paraId="4BC4E557" w14:textId="77777777" w:rsidR="009367B6" w:rsidRPr="009367B6" w:rsidRDefault="009367B6" w:rsidP="009367B6">
            <w:pPr>
              <w:numPr>
                <w:ilvl w:val="0"/>
                <w:numId w:val="1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Enfermedad hematológica</w:t>
            </w:r>
          </w:p>
          <w:p w14:paraId="5B9F229B" w14:textId="77777777" w:rsidR="009367B6" w:rsidRPr="009367B6" w:rsidRDefault="009367B6" w:rsidP="009367B6">
            <w:pPr>
              <w:numPr>
                <w:ilvl w:val="0"/>
                <w:numId w:val="1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Enfermedad oncológica</w:t>
            </w:r>
          </w:p>
          <w:p w14:paraId="02FF72A6" w14:textId="77777777" w:rsidR="009367B6" w:rsidRPr="009367B6" w:rsidRDefault="009367B6" w:rsidP="009367B6">
            <w:pPr>
              <w:numPr>
                <w:ilvl w:val="0"/>
                <w:numId w:val="1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Enfermedad endocrinológica</w:t>
            </w:r>
          </w:p>
          <w:p w14:paraId="1CDDF1B8" w14:textId="77777777" w:rsidR="009367B6" w:rsidRPr="009367B6" w:rsidRDefault="009367B6" w:rsidP="009367B6">
            <w:pPr>
              <w:numPr>
                <w:ilvl w:val="0"/>
                <w:numId w:val="1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Enfermedad inmunológica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8EE828"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cualitativo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6CF583"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Nominal policotómico</w:t>
            </w:r>
          </w:p>
        </w:tc>
      </w:tr>
      <w:tr w:rsidR="009367B6" w:rsidRPr="009367B6" w14:paraId="03D7AB22"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F58100"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Presencia de coinfecciones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62E179"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Detección de otros patógenos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70BE31" w14:textId="77777777" w:rsidR="009367B6" w:rsidRPr="009367B6" w:rsidRDefault="009367B6" w:rsidP="009367B6">
            <w:pPr>
              <w:numPr>
                <w:ilvl w:val="0"/>
                <w:numId w:val="11"/>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Viral</w:t>
            </w:r>
          </w:p>
          <w:p w14:paraId="433D3278" w14:textId="77777777" w:rsidR="009367B6" w:rsidRPr="009367B6" w:rsidRDefault="009367B6" w:rsidP="009367B6">
            <w:pPr>
              <w:numPr>
                <w:ilvl w:val="0"/>
                <w:numId w:val="11"/>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Bacteriana</w:t>
            </w:r>
          </w:p>
          <w:p w14:paraId="1DC6092D" w14:textId="77777777" w:rsidR="009367B6" w:rsidRPr="009367B6" w:rsidRDefault="009367B6" w:rsidP="009367B6">
            <w:pPr>
              <w:numPr>
                <w:ilvl w:val="0"/>
                <w:numId w:val="11"/>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Micótica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5AC62F"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cualitativo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71D3D1"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Nominal policotómico</w:t>
            </w:r>
          </w:p>
        </w:tc>
      </w:tr>
      <w:tr w:rsidR="009367B6" w:rsidRPr="009367B6" w14:paraId="6F4AAAA0"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CCDF4B"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lastRenderedPageBreak/>
              <w:t>Estado vacunal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9EEC9A"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Vacunas colocadas que corresponden a la edad del paciente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E7BE2B" w14:textId="77777777" w:rsidR="009367B6" w:rsidRPr="009367B6" w:rsidRDefault="009367B6" w:rsidP="009367B6">
            <w:pPr>
              <w:numPr>
                <w:ilvl w:val="0"/>
                <w:numId w:val="12"/>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Completo</w:t>
            </w:r>
          </w:p>
          <w:p w14:paraId="01773285" w14:textId="77777777" w:rsidR="009367B6" w:rsidRPr="009367B6" w:rsidRDefault="009367B6" w:rsidP="009367B6">
            <w:pPr>
              <w:numPr>
                <w:ilvl w:val="0"/>
                <w:numId w:val="12"/>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incompleto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9C2F3"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cualitativo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18CBAE"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Nominal dicotómico</w:t>
            </w:r>
          </w:p>
        </w:tc>
      </w:tr>
      <w:tr w:rsidR="009367B6" w:rsidRPr="009367B6" w14:paraId="5EDB25A4"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80A2DB"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Signos vitales al ingreso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F4603C"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Registro de funciones vitales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1CABE0" w14:textId="77777777" w:rsidR="009367B6" w:rsidRPr="009367B6" w:rsidRDefault="009367B6" w:rsidP="009367B6">
            <w:pPr>
              <w:numPr>
                <w:ilvl w:val="0"/>
                <w:numId w:val="13"/>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Frecuencia cardiaca</w:t>
            </w:r>
          </w:p>
          <w:p w14:paraId="37FA6E31" w14:textId="77777777" w:rsidR="009367B6" w:rsidRPr="009367B6" w:rsidRDefault="009367B6" w:rsidP="009367B6">
            <w:pPr>
              <w:numPr>
                <w:ilvl w:val="0"/>
                <w:numId w:val="13"/>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Frecuencia respiratoria</w:t>
            </w:r>
          </w:p>
          <w:p w14:paraId="1D622206" w14:textId="77777777" w:rsidR="009367B6" w:rsidRPr="009367B6" w:rsidRDefault="009367B6" w:rsidP="009367B6">
            <w:pPr>
              <w:numPr>
                <w:ilvl w:val="0"/>
                <w:numId w:val="13"/>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Presión arterial</w:t>
            </w:r>
          </w:p>
          <w:p w14:paraId="58BFF9F3" w14:textId="77777777" w:rsidR="009367B6" w:rsidRPr="009367B6" w:rsidRDefault="009367B6" w:rsidP="009367B6">
            <w:pPr>
              <w:numPr>
                <w:ilvl w:val="0"/>
                <w:numId w:val="13"/>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Temperatura</w:t>
            </w:r>
          </w:p>
          <w:p w14:paraId="57E4BAD7" w14:textId="77777777" w:rsidR="009367B6" w:rsidRPr="009367B6" w:rsidRDefault="009367B6" w:rsidP="009367B6">
            <w:pPr>
              <w:numPr>
                <w:ilvl w:val="0"/>
                <w:numId w:val="13"/>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Saturación de oxígeno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E0A298"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Cuantitativa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CA8EEA" w14:textId="77777777" w:rsidR="009367B6" w:rsidRPr="009367B6" w:rsidRDefault="009367B6" w:rsidP="009367B6">
            <w:pPr>
              <w:numPr>
                <w:ilvl w:val="0"/>
                <w:numId w:val="14"/>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Discreta</w:t>
            </w:r>
          </w:p>
          <w:p w14:paraId="05D97DDB" w14:textId="77777777" w:rsidR="009367B6" w:rsidRPr="009367B6" w:rsidRDefault="009367B6" w:rsidP="009367B6">
            <w:pPr>
              <w:numPr>
                <w:ilvl w:val="0"/>
                <w:numId w:val="14"/>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Discreta</w:t>
            </w:r>
          </w:p>
          <w:p w14:paraId="03BDDBAE" w14:textId="77777777" w:rsidR="009367B6" w:rsidRPr="009367B6" w:rsidRDefault="009367B6" w:rsidP="009367B6">
            <w:pPr>
              <w:numPr>
                <w:ilvl w:val="0"/>
                <w:numId w:val="14"/>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Discreta</w:t>
            </w:r>
          </w:p>
          <w:p w14:paraId="25A160A1" w14:textId="77777777" w:rsidR="009367B6" w:rsidRPr="009367B6" w:rsidRDefault="009367B6" w:rsidP="009367B6">
            <w:pPr>
              <w:numPr>
                <w:ilvl w:val="0"/>
                <w:numId w:val="14"/>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Continua</w:t>
            </w:r>
          </w:p>
          <w:p w14:paraId="3B04BFBA" w14:textId="77777777" w:rsidR="009367B6" w:rsidRPr="009367B6" w:rsidRDefault="009367B6" w:rsidP="009367B6">
            <w:pPr>
              <w:numPr>
                <w:ilvl w:val="0"/>
                <w:numId w:val="14"/>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Discreta </w:t>
            </w:r>
          </w:p>
          <w:p w14:paraId="403C2819" w14:textId="77777777" w:rsidR="009367B6" w:rsidRPr="009367B6" w:rsidRDefault="009367B6" w:rsidP="009367B6">
            <w:pPr>
              <w:spacing w:after="0" w:line="240" w:lineRule="auto"/>
              <w:rPr>
                <w:rFonts w:ascii="Times New Roman" w:eastAsia="Times New Roman" w:hAnsi="Times New Roman" w:cs="Times New Roman"/>
                <w:sz w:val="24"/>
                <w:szCs w:val="24"/>
              </w:rPr>
            </w:pPr>
          </w:p>
        </w:tc>
      </w:tr>
      <w:tr w:rsidR="009367B6" w:rsidRPr="009367B6" w14:paraId="13D55771"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3FE743"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Síntomas al ingreso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97B148"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Presencia de síntomas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78FCFB"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Fiebre &gt;38°C</w:t>
            </w:r>
          </w:p>
          <w:p w14:paraId="108E239F"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Inyección conjuntival</w:t>
            </w:r>
          </w:p>
          <w:p w14:paraId="37F93698"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Presencia de lesiones en piel</w:t>
            </w:r>
          </w:p>
          <w:p w14:paraId="6EB04905"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Disnea </w:t>
            </w:r>
          </w:p>
          <w:p w14:paraId="7BEE42EB"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Tos</w:t>
            </w:r>
          </w:p>
          <w:p w14:paraId="7E8A262E"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Rinitis</w:t>
            </w:r>
          </w:p>
          <w:p w14:paraId="14E7B9CF"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Diarrea </w:t>
            </w:r>
          </w:p>
          <w:p w14:paraId="18D000DC"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Dolor abdominal</w:t>
            </w:r>
          </w:p>
          <w:p w14:paraId="7EBDB669"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Convulsiones </w:t>
            </w:r>
          </w:p>
          <w:p w14:paraId="4F0BC6B7"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Cefalea</w:t>
            </w:r>
          </w:p>
          <w:p w14:paraId="11D33BF7"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Vómitos</w:t>
            </w:r>
          </w:p>
          <w:p w14:paraId="6FB03244"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Hiporexia</w:t>
            </w:r>
          </w:p>
          <w:p w14:paraId="55855C1A"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Disgeusia </w:t>
            </w:r>
          </w:p>
          <w:p w14:paraId="782B45F5" w14:textId="77777777" w:rsidR="009367B6" w:rsidRPr="009367B6" w:rsidRDefault="009367B6" w:rsidP="009367B6">
            <w:pPr>
              <w:numPr>
                <w:ilvl w:val="0"/>
                <w:numId w:val="15"/>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Anosmia </w:t>
            </w:r>
          </w:p>
          <w:p w14:paraId="2F27B327" w14:textId="77777777" w:rsidR="009367B6" w:rsidRPr="009367B6" w:rsidRDefault="009367B6" w:rsidP="009367B6">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10AF6B"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cualitativa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2663F4"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nominal</w:t>
            </w:r>
          </w:p>
        </w:tc>
      </w:tr>
      <w:tr w:rsidR="009367B6" w:rsidRPr="009367B6" w14:paraId="74C0AE2F"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884EAF"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Número de días previos al ingreso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3F7819"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Días con sintomatología previos a la admisión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EF3FE8"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&lt; 3 días</w:t>
            </w:r>
          </w:p>
          <w:p w14:paraId="2873858B"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3 a 5 días</w:t>
            </w:r>
          </w:p>
          <w:p w14:paraId="72D6EC4D"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&gt;7 días</w:t>
            </w:r>
          </w:p>
          <w:p w14:paraId="3A3438C3" w14:textId="77777777" w:rsidR="009367B6" w:rsidRPr="009367B6" w:rsidRDefault="009367B6" w:rsidP="009367B6">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72752C"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cualitativa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05D4C7"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ordinal</w:t>
            </w:r>
          </w:p>
        </w:tc>
      </w:tr>
      <w:tr w:rsidR="009367B6" w:rsidRPr="009367B6" w14:paraId="04345660"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E728DA"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Marcadores inflamatorios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16FCB4"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Elevación de marcadores laboratoriales asociados a inflamación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E94022"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Proteína C reactiva &gt; 10mg/ml</w:t>
            </w:r>
          </w:p>
          <w:p w14:paraId="784E41C6"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VSG&gt; 20mm/h</w:t>
            </w:r>
          </w:p>
          <w:p w14:paraId="6D3E38A5"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Pocalcitonina &gt;0.5 ng/mL</w:t>
            </w:r>
          </w:p>
          <w:p w14:paraId="07100B8E" w14:textId="77777777" w:rsidR="009367B6" w:rsidRPr="009367B6" w:rsidRDefault="009367B6" w:rsidP="009367B6">
            <w:pPr>
              <w:spacing w:after="24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97F292"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cualitativa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41966B"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nominal</w:t>
            </w:r>
          </w:p>
        </w:tc>
      </w:tr>
      <w:tr w:rsidR="009367B6" w:rsidRPr="009367B6" w14:paraId="36F363F0" w14:textId="77777777" w:rsidTr="009367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E249A2"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Variante genómica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2FC4DD"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Detección de variantes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A0132C"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Presencia de B.1.1.7</w:t>
            </w:r>
          </w:p>
          <w:p w14:paraId="110C645E" w14:textId="77777777" w:rsidR="009367B6" w:rsidRPr="009367B6" w:rsidRDefault="009367B6" w:rsidP="009367B6">
            <w:pPr>
              <w:spacing w:after="0" w:line="240" w:lineRule="auto"/>
              <w:jc w:val="both"/>
              <w:rPr>
                <w:rFonts w:ascii="Times New Roman" w:eastAsia="Times New Roman" w:hAnsi="Times New Roman" w:cs="Times New Roman"/>
                <w:sz w:val="24"/>
                <w:szCs w:val="24"/>
                <w:lang w:val="es-PE"/>
              </w:rPr>
            </w:pPr>
            <w:r w:rsidRPr="009367B6">
              <w:rPr>
                <w:rFonts w:ascii="Arial" w:eastAsia="Times New Roman" w:hAnsi="Arial" w:cs="Arial"/>
                <w:color w:val="000000"/>
                <w:sz w:val="20"/>
                <w:szCs w:val="20"/>
                <w:lang w:val="es-PE"/>
              </w:rPr>
              <w:t>Presencia de P1</w:t>
            </w:r>
          </w:p>
          <w:p w14:paraId="23731469"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Presencia B.1.351</w:t>
            </w:r>
          </w:p>
          <w:p w14:paraId="10E2C4B5"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Presencia C.37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A10EF2"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cualitativa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C746C9"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nominal</w:t>
            </w:r>
          </w:p>
        </w:tc>
      </w:tr>
    </w:tbl>
    <w:p w14:paraId="324DBCA3" w14:textId="77777777" w:rsidR="009367B6" w:rsidRPr="009367B6" w:rsidRDefault="009367B6" w:rsidP="009367B6">
      <w:pPr>
        <w:spacing w:after="0" w:line="240" w:lineRule="auto"/>
        <w:rPr>
          <w:rFonts w:ascii="Times New Roman" w:eastAsia="Times New Roman" w:hAnsi="Times New Roman" w:cs="Times New Roman"/>
          <w:sz w:val="24"/>
          <w:szCs w:val="24"/>
        </w:rPr>
      </w:pPr>
      <w:r w:rsidRPr="009367B6">
        <w:rPr>
          <w:rFonts w:ascii="Times New Roman" w:eastAsia="Times New Roman" w:hAnsi="Times New Roman" w:cs="Times New Roman"/>
          <w:sz w:val="24"/>
          <w:szCs w:val="24"/>
        </w:rPr>
        <w:br/>
      </w:r>
      <w:r w:rsidRPr="009367B6">
        <w:rPr>
          <w:rFonts w:ascii="Times New Roman" w:eastAsia="Times New Roman" w:hAnsi="Times New Roman" w:cs="Times New Roman"/>
          <w:sz w:val="24"/>
          <w:szCs w:val="24"/>
        </w:rPr>
        <w:br/>
      </w:r>
    </w:p>
    <w:p w14:paraId="6B4A99DF" w14:textId="77777777" w:rsidR="009367B6" w:rsidRPr="009367B6" w:rsidRDefault="009367B6" w:rsidP="009367B6">
      <w:pPr>
        <w:numPr>
          <w:ilvl w:val="0"/>
          <w:numId w:val="16"/>
        </w:numPr>
        <w:spacing w:after="0" w:line="240" w:lineRule="auto"/>
        <w:ind w:left="851"/>
        <w:jc w:val="both"/>
        <w:textAlignment w:val="baseline"/>
        <w:rPr>
          <w:rFonts w:ascii="Arial" w:eastAsia="Times New Roman" w:hAnsi="Arial" w:cs="Arial"/>
          <w:color w:val="000000"/>
          <w:sz w:val="20"/>
          <w:szCs w:val="20"/>
          <w:lang w:val="es-PE"/>
        </w:rPr>
      </w:pPr>
      <w:r w:rsidRPr="009367B6">
        <w:rPr>
          <w:rFonts w:ascii="Arial" w:eastAsia="Times New Roman" w:hAnsi="Arial" w:cs="Arial"/>
          <w:color w:val="000000"/>
          <w:sz w:val="20"/>
          <w:szCs w:val="20"/>
          <w:lang w:val="es-PE"/>
        </w:rPr>
        <w:t>Procedimientos (o métodos de colección de las variables)</w:t>
      </w:r>
    </w:p>
    <w:p w14:paraId="27FDE5FE" w14:textId="77777777" w:rsidR="009367B6" w:rsidRPr="009367B6" w:rsidRDefault="009367B6" w:rsidP="009367B6">
      <w:pPr>
        <w:spacing w:after="0" w:line="240" w:lineRule="auto"/>
        <w:ind w:left="851"/>
        <w:jc w:val="both"/>
        <w:rPr>
          <w:rFonts w:ascii="Times New Roman" w:eastAsia="Times New Roman" w:hAnsi="Times New Roman" w:cs="Times New Roman"/>
          <w:sz w:val="24"/>
          <w:szCs w:val="24"/>
        </w:rPr>
      </w:pPr>
      <w:r w:rsidRPr="009367B6">
        <w:rPr>
          <w:rFonts w:ascii="Calibri" w:eastAsia="Times New Roman" w:hAnsi="Calibri" w:cs="Calibri"/>
          <w:color w:val="000000"/>
          <w:lang w:val="es-PE"/>
        </w:rPr>
        <w:t xml:space="preserve">Se recolectarán las muestras positivas para COVID 19 que ya se encuentran procesadas en al área de patología clínica durante el periodo de marzo 2020 a junio 2021. </w:t>
      </w:r>
      <w:r w:rsidRPr="009367B6">
        <w:rPr>
          <w:rFonts w:ascii="Calibri" w:eastAsia="Times New Roman" w:hAnsi="Calibri" w:cs="Calibri"/>
          <w:color w:val="000000"/>
        </w:rPr>
        <w:t>Las características de la muestras son: </w:t>
      </w:r>
    </w:p>
    <w:p w14:paraId="526CFCFE" w14:textId="77777777" w:rsidR="009367B6" w:rsidRPr="009367B6" w:rsidRDefault="009367B6" w:rsidP="009367B6">
      <w:pPr>
        <w:numPr>
          <w:ilvl w:val="0"/>
          <w:numId w:val="17"/>
        </w:numPr>
        <w:spacing w:after="0" w:line="240" w:lineRule="auto"/>
        <w:ind w:left="1440"/>
        <w:jc w:val="both"/>
        <w:textAlignment w:val="baseline"/>
        <w:rPr>
          <w:rFonts w:ascii="Calibri" w:eastAsia="Times New Roman" w:hAnsi="Calibri" w:cs="Calibri"/>
          <w:color w:val="000000"/>
        </w:rPr>
      </w:pPr>
      <w:r w:rsidRPr="009367B6">
        <w:rPr>
          <w:rFonts w:ascii="Calibri" w:eastAsia="Times New Roman" w:hAnsi="Calibri" w:cs="Calibri"/>
          <w:color w:val="000000"/>
        </w:rPr>
        <w:t>Positivo mediante prueba molecular. </w:t>
      </w:r>
    </w:p>
    <w:p w14:paraId="3A326D32" w14:textId="77777777" w:rsidR="009367B6" w:rsidRPr="009367B6" w:rsidRDefault="009367B6" w:rsidP="009367B6">
      <w:pPr>
        <w:numPr>
          <w:ilvl w:val="0"/>
          <w:numId w:val="17"/>
        </w:numPr>
        <w:spacing w:after="0" w:line="240" w:lineRule="auto"/>
        <w:ind w:left="1440"/>
        <w:jc w:val="both"/>
        <w:textAlignment w:val="baseline"/>
        <w:rPr>
          <w:rFonts w:ascii="Calibri" w:eastAsia="Times New Roman" w:hAnsi="Calibri" w:cs="Calibri"/>
          <w:color w:val="000000"/>
        </w:rPr>
      </w:pPr>
      <w:r w:rsidRPr="009367B6">
        <w:rPr>
          <w:rFonts w:ascii="Calibri" w:eastAsia="Times New Roman" w:hAnsi="Calibri" w:cs="Calibri"/>
          <w:color w:val="000000"/>
        </w:rPr>
        <w:t>Volumen 500 microlitros. </w:t>
      </w:r>
    </w:p>
    <w:p w14:paraId="3B93F799" w14:textId="77777777" w:rsidR="009367B6" w:rsidRPr="009367B6" w:rsidRDefault="009367B6" w:rsidP="009367B6">
      <w:pPr>
        <w:numPr>
          <w:ilvl w:val="0"/>
          <w:numId w:val="17"/>
        </w:numPr>
        <w:spacing w:after="0" w:line="240" w:lineRule="auto"/>
        <w:ind w:left="1440"/>
        <w:jc w:val="both"/>
        <w:textAlignment w:val="baseline"/>
        <w:rPr>
          <w:rFonts w:ascii="Calibri" w:eastAsia="Times New Roman" w:hAnsi="Calibri" w:cs="Calibri"/>
          <w:color w:val="000000"/>
        </w:rPr>
      </w:pPr>
      <w:r w:rsidRPr="009367B6">
        <w:rPr>
          <w:rFonts w:ascii="Calibri" w:eastAsia="Times New Roman" w:hAnsi="Calibri" w:cs="Calibri"/>
          <w:color w:val="000000"/>
        </w:rPr>
        <w:t>Almacenadas a -70 grados centígrados</w:t>
      </w:r>
    </w:p>
    <w:p w14:paraId="368E79A8" w14:textId="77777777" w:rsidR="009367B6" w:rsidRPr="009367B6" w:rsidRDefault="009367B6" w:rsidP="009367B6">
      <w:pPr>
        <w:spacing w:after="0" w:line="240" w:lineRule="auto"/>
        <w:ind w:left="851"/>
        <w:jc w:val="both"/>
        <w:rPr>
          <w:rFonts w:ascii="Times New Roman" w:eastAsia="Times New Roman" w:hAnsi="Times New Roman" w:cs="Times New Roman"/>
          <w:sz w:val="24"/>
          <w:szCs w:val="24"/>
          <w:lang w:val="es-PE"/>
        </w:rPr>
      </w:pPr>
      <w:r w:rsidRPr="009367B6">
        <w:rPr>
          <w:rFonts w:ascii="Calibri" w:eastAsia="Times New Roman" w:hAnsi="Calibri" w:cs="Calibri"/>
          <w:color w:val="000000"/>
          <w:lang w:val="es-PE"/>
        </w:rPr>
        <w:t>Estas muestras serán enviadas a la universidad Cayetano Heredia para la identificación de las variantes genómicas. La cadena de frío será con la utilización de hielo seco.</w:t>
      </w:r>
    </w:p>
    <w:p w14:paraId="12DDEA0A"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r w:rsidRPr="009367B6">
        <w:rPr>
          <w:rFonts w:ascii="Times New Roman" w:eastAsia="Times New Roman" w:hAnsi="Times New Roman" w:cs="Times New Roman"/>
          <w:sz w:val="24"/>
          <w:szCs w:val="24"/>
          <w:lang w:val="es-PE"/>
        </w:rPr>
        <w:lastRenderedPageBreak/>
        <w:br/>
      </w:r>
    </w:p>
    <w:p w14:paraId="66684A76" w14:textId="77777777" w:rsidR="009367B6" w:rsidRPr="009367B6" w:rsidRDefault="009367B6" w:rsidP="009367B6">
      <w:pPr>
        <w:numPr>
          <w:ilvl w:val="0"/>
          <w:numId w:val="18"/>
        </w:numPr>
        <w:spacing w:after="0" w:line="240" w:lineRule="auto"/>
        <w:jc w:val="both"/>
        <w:textAlignment w:val="baseline"/>
        <w:rPr>
          <w:rFonts w:ascii="Arial" w:eastAsia="Times New Roman" w:hAnsi="Arial" w:cs="Arial"/>
          <w:color w:val="000000"/>
          <w:lang w:val="es-PE"/>
        </w:rPr>
      </w:pPr>
      <w:r w:rsidRPr="009367B6">
        <w:rPr>
          <w:rFonts w:ascii="Calibri" w:eastAsia="Times New Roman" w:hAnsi="Calibri" w:cs="Calibri"/>
          <w:color w:val="000000"/>
          <w:lang w:val="es-PE"/>
        </w:rPr>
        <w:t>Métodos estadísticos (o plan de análisis de datos)</w:t>
      </w:r>
    </w:p>
    <w:p w14:paraId="49FD7FFC" w14:textId="77777777" w:rsidR="009367B6" w:rsidRPr="009367B6" w:rsidRDefault="009367B6" w:rsidP="009367B6">
      <w:pPr>
        <w:spacing w:after="200" w:line="240" w:lineRule="auto"/>
        <w:ind w:left="720"/>
        <w:jc w:val="both"/>
        <w:rPr>
          <w:rFonts w:ascii="Times New Roman" w:eastAsia="Times New Roman" w:hAnsi="Times New Roman" w:cs="Times New Roman"/>
          <w:sz w:val="24"/>
          <w:szCs w:val="24"/>
          <w:lang w:val="es-PE"/>
        </w:rPr>
      </w:pPr>
      <w:r w:rsidRPr="009367B6">
        <w:rPr>
          <w:rFonts w:ascii="Calibri" w:eastAsia="Times New Roman" w:hAnsi="Calibri" w:cs="Calibri"/>
          <w:color w:val="000000"/>
          <w:lang w:val="es-PE"/>
        </w:rPr>
        <w:t xml:space="preserve">Se recopilará la información de historias clínicas, que será transcrita a una base de datos en Excel y se exportará a un software estadístico </w:t>
      </w:r>
      <w:proofErr w:type="spellStart"/>
      <w:r w:rsidRPr="009367B6">
        <w:rPr>
          <w:rFonts w:ascii="Calibri" w:eastAsia="Times New Roman" w:hAnsi="Calibri" w:cs="Calibri"/>
          <w:color w:val="000000"/>
          <w:lang w:val="es-PE"/>
        </w:rPr>
        <w:t>Epi</w:t>
      </w:r>
      <w:proofErr w:type="spellEnd"/>
      <w:r w:rsidRPr="009367B6">
        <w:rPr>
          <w:rFonts w:ascii="Calibri" w:eastAsia="Times New Roman" w:hAnsi="Calibri" w:cs="Calibri"/>
          <w:color w:val="000000"/>
          <w:lang w:val="es-PE"/>
        </w:rPr>
        <w:t xml:space="preserve"> </w:t>
      </w:r>
      <w:proofErr w:type="spellStart"/>
      <w:r w:rsidRPr="009367B6">
        <w:rPr>
          <w:rFonts w:ascii="Calibri" w:eastAsia="Times New Roman" w:hAnsi="Calibri" w:cs="Calibri"/>
          <w:color w:val="000000"/>
          <w:lang w:val="es-PE"/>
        </w:rPr>
        <w:t>info</w:t>
      </w:r>
      <w:proofErr w:type="spellEnd"/>
      <w:r w:rsidRPr="009367B6">
        <w:rPr>
          <w:rFonts w:ascii="Calibri" w:eastAsia="Times New Roman" w:hAnsi="Calibri" w:cs="Calibri"/>
          <w:color w:val="000000"/>
          <w:lang w:val="es-PE"/>
        </w:rPr>
        <w:t>  para su análisis. </w:t>
      </w:r>
    </w:p>
    <w:p w14:paraId="1D23CEB3" w14:textId="77777777" w:rsidR="009367B6" w:rsidRPr="009367B6" w:rsidRDefault="009367B6" w:rsidP="009367B6">
      <w:pPr>
        <w:spacing w:after="200" w:line="240" w:lineRule="auto"/>
        <w:ind w:left="709"/>
        <w:jc w:val="both"/>
        <w:rPr>
          <w:rFonts w:ascii="Times New Roman" w:eastAsia="Times New Roman" w:hAnsi="Times New Roman" w:cs="Times New Roman"/>
          <w:sz w:val="24"/>
          <w:szCs w:val="24"/>
          <w:lang w:val="es-PE"/>
        </w:rPr>
      </w:pPr>
      <w:r w:rsidRPr="009367B6">
        <w:rPr>
          <w:rFonts w:ascii="Calibri" w:eastAsia="Times New Roman" w:hAnsi="Calibri" w:cs="Calibri"/>
          <w:color w:val="000000"/>
          <w:lang w:val="es-PE"/>
        </w:rPr>
        <w:t>Para la estadística descriptiva, las variables serán descritas y los datos serán ordenados en tablas de contingencia e ilustrados mediante gráficos.</w:t>
      </w:r>
    </w:p>
    <w:p w14:paraId="01BD6EF1"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r w:rsidRPr="009367B6">
        <w:rPr>
          <w:rFonts w:ascii="Times New Roman" w:eastAsia="Times New Roman" w:hAnsi="Times New Roman" w:cs="Times New Roman"/>
          <w:sz w:val="24"/>
          <w:szCs w:val="24"/>
          <w:lang w:val="es-PE"/>
        </w:rPr>
        <w:br/>
      </w:r>
    </w:p>
    <w:p w14:paraId="5B55B2B8" w14:textId="77777777" w:rsidR="009367B6" w:rsidRPr="009367B6" w:rsidRDefault="009367B6" w:rsidP="009367B6">
      <w:pPr>
        <w:numPr>
          <w:ilvl w:val="0"/>
          <w:numId w:val="19"/>
        </w:numPr>
        <w:spacing w:after="200" w:line="240" w:lineRule="auto"/>
        <w:jc w:val="both"/>
        <w:textAlignment w:val="baseline"/>
        <w:rPr>
          <w:rFonts w:ascii="Arial" w:eastAsia="Times New Roman" w:hAnsi="Arial" w:cs="Arial"/>
          <w:color w:val="000000"/>
        </w:rPr>
      </w:pPr>
      <w:r w:rsidRPr="009367B6">
        <w:rPr>
          <w:rFonts w:ascii="Calibri" w:eastAsia="Times New Roman" w:hAnsi="Calibri" w:cs="Calibri"/>
          <w:color w:val="000000"/>
        </w:rPr>
        <w:t>Aspectos éticos</w:t>
      </w:r>
    </w:p>
    <w:p w14:paraId="01B62C45" w14:textId="77777777" w:rsidR="009367B6" w:rsidRPr="009367B6" w:rsidRDefault="009367B6" w:rsidP="009367B6">
      <w:pPr>
        <w:spacing w:after="200" w:line="240" w:lineRule="auto"/>
        <w:ind w:left="709"/>
        <w:jc w:val="both"/>
        <w:rPr>
          <w:rFonts w:ascii="Times New Roman" w:eastAsia="Times New Roman" w:hAnsi="Times New Roman" w:cs="Times New Roman"/>
          <w:sz w:val="24"/>
          <w:szCs w:val="24"/>
          <w:lang w:val="es-PE"/>
        </w:rPr>
      </w:pPr>
      <w:r w:rsidRPr="009367B6">
        <w:rPr>
          <w:rFonts w:ascii="Roboto" w:eastAsia="Times New Roman" w:hAnsi="Roboto" w:cs="Times New Roman"/>
          <w:color w:val="3C4043"/>
          <w:sz w:val="21"/>
          <w:szCs w:val="21"/>
          <w:shd w:val="clear" w:color="auto" w:fill="FFFFFF"/>
          <w:lang w:val="es-PE"/>
        </w:rPr>
        <w:t xml:space="preserve">La ejecución del estudio se realizará previa solicitud de la autorización a las autoridades correspondientes, </w:t>
      </w:r>
      <w:proofErr w:type="spellStart"/>
      <w:r w:rsidRPr="009367B6">
        <w:rPr>
          <w:rFonts w:ascii="Roboto" w:eastAsia="Times New Roman" w:hAnsi="Roboto" w:cs="Times New Roman"/>
          <w:color w:val="3C4043"/>
          <w:sz w:val="21"/>
          <w:szCs w:val="21"/>
          <w:shd w:val="clear" w:color="auto" w:fill="FFFFFF"/>
          <w:lang w:val="es-PE"/>
        </w:rPr>
        <w:t>presentándo</w:t>
      </w:r>
      <w:proofErr w:type="spellEnd"/>
      <w:r w:rsidRPr="009367B6">
        <w:rPr>
          <w:rFonts w:ascii="Roboto" w:eastAsia="Times New Roman" w:hAnsi="Roboto" w:cs="Times New Roman"/>
          <w:color w:val="3C4043"/>
          <w:sz w:val="21"/>
          <w:szCs w:val="21"/>
          <w:shd w:val="clear" w:color="auto" w:fill="FFFFFF"/>
          <w:lang w:val="es-PE"/>
        </w:rPr>
        <w:t xml:space="preserve"> el protocolo al Comité de Ética del Instituto Nacional de Salud del Niño de San Borja.</w:t>
      </w:r>
    </w:p>
    <w:p w14:paraId="44CCFB01" w14:textId="77777777" w:rsidR="009367B6" w:rsidRPr="009367B6" w:rsidRDefault="009367B6" w:rsidP="009367B6">
      <w:pPr>
        <w:spacing w:after="200" w:line="240" w:lineRule="auto"/>
        <w:ind w:left="709"/>
        <w:jc w:val="both"/>
        <w:rPr>
          <w:rFonts w:ascii="Times New Roman" w:eastAsia="Times New Roman" w:hAnsi="Times New Roman" w:cs="Times New Roman"/>
          <w:sz w:val="24"/>
          <w:szCs w:val="24"/>
          <w:lang w:val="es-PE"/>
        </w:rPr>
      </w:pPr>
      <w:r w:rsidRPr="009367B6">
        <w:rPr>
          <w:rFonts w:ascii="Roboto" w:eastAsia="Times New Roman" w:hAnsi="Roboto" w:cs="Times New Roman"/>
          <w:color w:val="3C4043"/>
          <w:sz w:val="21"/>
          <w:szCs w:val="21"/>
          <w:shd w:val="clear" w:color="auto" w:fill="FFFFFF"/>
          <w:lang w:val="es-PE"/>
        </w:rPr>
        <w:t>La información obtenida será encriptada bajo una codificación numérica, garantizando el anonimato del paciente.</w:t>
      </w:r>
    </w:p>
    <w:p w14:paraId="06C62817" w14:textId="77777777" w:rsidR="009367B6" w:rsidRPr="009367B6" w:rsidRDefault="009367B6" w:rsidP="009367B6">
      <w:pPr>
        <w:spacing w:after="200" w:line="240" w:lineRule="auto"/>
        <w:ind w:left="709"/>
        <w:jc w:val="both"/>
        <w:rPr>
          <w:rFonts w:ascii="Times New Roman" w:eastAsia="Times New Roman" w:hAnsi="Times New Roman" w:cs="Times New Roman"/>
          <w:sz w:val="24"/>
          <w:szCs w:val="24"/>
          <w:lang w:val="es-PE"/>
        </w:rPr>
      </w:pPr>
      <w:r w:rsidRPr="009367B6">
        <w:rPr>
          <w:rFonts w:ascii="Roboto" w:eastAsia="Times New Roman" w:hAnsi="Roboto" w:cs="Times New Roman"/>
          <w:color w:val="3C4043"/>
          <w:sz w:val="21"/>
          <w:szCs w:val="21"/>
          <w:shd w:val="clear" w:color="auto" w:fill="FFFFFF"/>
          <w:lang w:val="es-PE"/>
        </w:rPr>
        <w:t>La información será manipulada únicamente por los investigadores del estudio.</w:t>
      </w:r>
    </w:p>
    <w:p w14:paraId="7AFCB2D9" w14:textId="77777777" w:rsidR="009367B6" w:rsidRPr="009367B6" w:rsidRDefault="009367B6" w:rsidP="009367B6">
      <w:pPr>
        <w:spacing w:after="0" w:line="240" w:lineRule="auto"/>
        <w:rPr>
          <w:rFonts w:ascii="Times New Roman" w:eastAsia="Times New Roman" w:hAnsi="Times New Roman" w:cs="Times New Roman"/>
          <w:sz w:val="24"/>
          <w:szCs w:val="24"/>
          <w:lang w:val="es-PE"/>
        </w:rPr>
      </w:pPr>
    </w:p>
    <w:p w14:paraId="4B662D63"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lang w:val="es-PE"/>
        </w:rPr>
        <w:t>  </w:t>
      </w:r>
      <w:r w:rsidRPr="009367B6">
        <w:rPr>
          <w:rFonts w:ascii="Arial" w:eastAsia="Times New Roman" w:hAnsi="Arial" w:cs="Arial"/>
          <w:color w:val="000000"/>
          <w:sz w:val="20"/>
          <w:szCs w:val="20"/>
        </w:rPr>
        <w:t>8.  Cronograma</w:t>
      </w:r>
    </w:p>
    <w:p w14:paraId="29E800DD" w14:textId="75EEABAE"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Calibri" w:eastAsia="Times New Roman" w:hAnsi="Calibri" w:cs="Calibri"/>
          <w:noProof/>
          <w:color w:val="000000"/>
          <w:bdr w:val="none" w:sz="0" w:space="0" w:color="auto" w:frame="1"/>
        </w:rPr>
        <w:drawing>
          <wp:inline distT="0" distB="0" distL="0" distR="0" wp14:anchorId="6F030BEC" wp14:editId="741C1F6E">
            <wp:extent cx="5400675" cy="1924050"/>
            <wp:effectExtent l="0" t="0" r="9525" b="0"/>
            <wp:docPr id="1" name="Picture 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400675" cy="1924050"/>
                    </a:xfrm>
                    <a:prstGeom prst="rect">
                      <a:avLst/>
                    </a:prstGeom>
                    <a:noFill/>
                    <a:ln>
                      <a:noFill/>
                    </a:ln>
                  </pic:spPr>
                </pic:pic>
              </a:graphicData>
            </a:graphic>
          </wp:inline>
        </w:drawing>
      </w:r>
    </w:p>
    <w:p w14:paraId="4475E637" w14:textId="77777777" w:rsidR="009367B6" w:rsidRPr="009367B6" w:rsidRDefault="009367B6" w:rsidP="009367B6">
      <w:pPr>
        <w:spacing w:after="0" w:line="240" w:lineRule="auto"/>
        <w:rPr>
          <w:rFonts w:ascii="Times New Roman" w:eastAsia="Times New Roman" w:hAnsi="Times New Roman" w:cs="Times New Roman"/>
          <w:sz w:val="24"/>
          <w:szCs w:val="24"/>
        </w:rPr>
      </w:pPr>
    </w:p>
    <w:p w14:paraId="7A0DB434"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  9.  Presupuesto. </w:t>
      </w:r>
    </w:p>
    <w:p w14:paraId="7AC72221" w14:textId="77777777" w:rsidR="009367B6" w:rsidRPr="009367B6" w:rsidRDefault="009367B6" w:rsidP="009367B6">
      <w:pPr>
        <w:spacing w:after="0" w:line="240" w:lineRule="auto"/>
        <w:rPr>
          <w:rFonts w:ascii="Times New Roman" w:eastAsia="Times New Roman" w:hAnsi="Times New Roman" w:cs="Times New Roman"/>
          <w:sz w:val="24"/>
          <w:szCs w:val="24"/>
        </w:rPr>
      </w:pPr>
    </w:p>
    <w:p w14:paraId="447533EA" w14:textId="77777777" w:rsidR="009367B6" w:rsidRPr="009367B6" w:rsidRDefault="009367B6" w:rsidP="009367B6">
      <w:pPr>
        <w:spacing w:after="0" w:line="240" w:lineRule="auto"/>
        <w:jc w:val="both"/>
        <w:rPr>
          <w:rFonts w:ascii="Times New Roman" w:eastAsia="Times New Roman" w:hAnsi="Times New Roman" w:cs="Times New Roman"/>
          <w:sz w:val="24"/>
          <w:szCs w:val="24"/>
        </w:rPr>
      </w:pPr>
      <w:r w:rsidRPr="009367B6">
        <w:rPr>
          <w:rFonts w:ascii="Arial" w:eastAsia="Times New Roman" w:hAnsi="Arial" w:cs="Arial"/>
          <w:color w:val="000000"/>
          <w:sz w:val="20"/>
          <w:szCs w:val="20"/>
        </w:rPr>
        <w:t>  10.  Bibliografía</w:t>
      </w:r>
    </w:p>
    <w:p w14:paraId="5F556F73"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lang w:val="es-PE"/>
        </w:rPr>
        <w:t xml:space="preserve">Centro Nacional de Epidemiologia, </w:t>
      </w:r>
      <w:proofErr w:type="spellStart"/>
      <w:r w:rsidRPr="009367B6">
        <w:rPr>
          <w:rFonts w:ascii="Arial" w:eastAsia="Times New Roman" w:hAnsi="Arial" w:cs="Arial"/>
          <w:color w:val="000000"/>
          <w:sz w:val="20"/>
          <w:szCs w:val="20"/>
          <w:lang w:val="es-PE"/>
        </w:rPr>
        <w:t>Prevencion</w:t>
      </w:r>
      <w:proofErr w:type="spellEnd"/>
      <w:r w:rsidRPr="009367B6">
        <w:rPr>
          <w:rFonts w:ascii="Arial" w:eastAsia="Times New Roman" w:hAnsi="Arial" w:cs="Arial"/>
          <w:color w:val="000000"/>
          <w:sz w:val="20"/>
          <w:szCs w:val="20"/>
          <w:lang w:val="es-PE"/>
        </w:rPr>
        <w:t xml:space="preserve"> y Control de Enfermedades. </w:t>
      </w:r>
      <w:hyperlink r:id="rId6" w:history="1">
        <w:r w:rsidRPr="009367B6">
          <w:rPr>
            <w:rFonts w:ascii="Arial" w:eastAsia="Times New Roman" w:hAnsi="Arial" w:cs="Arial"/>
            <w:color w:val="0563C1"/>
            <w:sz w:val="20"/>
            <w:szCs w:val="20"/>
            <w:u w:val="single"/>
          </w:rPr>
          <w:t>https://www.dge.gob.pe/portal/docs/tools/coronavirus/coronavirus230421.pdf</w:t>
        </w:r>
      </w:hyperlink>
    </w:p>
    <w:p w14:paraId="6BA167A4"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Parsons, S., &amp; Tran, V. L. (2021). The Trilogy of SARS-CoV-2 in Pediatrics (Part 1): Acute COVID-19 in Special Populations. The Journal of Pediatric Pharmacology and Therapeutics, 26(3), 220–239. https://doi.org/10.5863/1551-6776-26.3.220</w:t>
      </w:r>
    </w:p>
    <w:p w14:paraId="2A11E8C1"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 xml:space="preserve">National Institutes of Health COVID-19 Treatment Guidelines Panel. Coronavirus disease 2019 (COVID-19) treatment guidelines. Accessed December 2, 2020. https:// </w:t>
      </w:r>
      <w:hyperlink r:id="rId7" w:history="1">
        <w:r w:rsidRPr="009367B6">
          <w:rPr>
            <w:rFonts w:ascii="Arial" w:eastAsia="Times New Roman" w:hAnsi="Arial" w:cs="Arial"/>
            <w:color w:val="0563C1"/>
            <w:sz w:val="20"/>
            <w:szCs w:val="20"/>
            <w:u w:val="single"/>
          </w:rPr>
          <w:t>www.covid19treatmentguidelines.nih.gov/</w:t>
        </w:r>
      </w:hyperlink>
    </w:p>
    <w:p w14:paraId="0C1AF66E"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proofErr w:type="spellStart"/>
      <w:r w:rsidRPr="009367B6">
        <w:rPr>
          <w:rFonts w:ascii="Arial" w:eastAsia="Times New Roman" w:hAnsi="Arial" w:cs="Arial"/>
          <w:color w:val="000000"/>
          <w:sz w:val="20"/>
          <w:szCs w:val="20"/>
          <w:lang w:val="es-PE"/>
        </w:rPr>
        <w:t>Bellino</w:t>
      </w:r>
      <w:proofErr w:type="spellEnd"/>
      <w:r w:rsidRPr="009367B6">
        <w:rPr>
          <w:rFonts w:ascii="Arial" w:eastAsia="Times New Roman" w:hAnsi="Arial" w:cs="Arial"/>
          <w:color w:val="000000"/>
          <w:sz w:val="20"/>
          <w:szCs w:val="20"/>
          <w:lang w:val="es-PE"/>
        </w:rPr>
        <w:t xml:space="preserve"> S, Punzo O, Rota MC, Del Manso M, </w:t>
      </w:r>
      <w:proofErr w:type="spellStart"/>
      <w:r w:rsidRPr="009367B6">
        <w:rPr>
          <w:rFonts w:ascii="Arial" w:eastAsia="Times New Roman" w:hAnsi="Arial" w:cs="Arial"/>
          <w:color w:val="000000"/>
          <w:sz w:val="20"/>
          <w:szCs w:val="20"/>
          <w:lang w:val="es-PE"/>
        </w:rPr>
        <w:t>Urdiales</w:t>
      </w:r>
      <w:proofErr w:type="spellEnd"/>
      <w:r w:rsidRPr="009367B6">
        <w:rPr>
          <w:rFonts w:ascii="Arial" w:eastAsia="Times New Roman" w:hAnsi="Arial" w:cs="Arial"/>
          <w:color w:val="000000"/>
          <w:sz w:val="20"/>
          <w:szCs w:val="20"/>
          <w:lang w:val="es-PE"/>
        </w:rPr>
        <w:t xml:space="preserve"> AM, </w:t>
      </w:r>
      <w:proofErr w:type="spellStart"/>
      <w:r w:rsidRPr="009367B6">
        <w:rPr>
          <w:rFonts w:ascii="Arial" w:eastAsia="Times New Roman" w:hAnsi="Arial" w:cs="Arial"/>
          <w:color w:val="000000"/>
          <w:sz w:val="20"/>
          <w:szCs w:val="20"/>
          <w:lang w:val="es-PE"/>
        </w:rPr>
        <w:t>Andrianou</w:t>
      </w:r>
      <w:proofErr w:type="spellEnd"/>
      <w:r w:rsidRPr="009367B6">
        <w:rPr>
          <w:rFonts w:ascii="Arial" w:eastAsia="Times New Roman" w:hAnsi="Arial" w:cs="Arial"/>
          <w:color w:val="000000"/>
          <w:sz w:val="20"/>
          <w:szCs w:val="20"/>
          <w:lang w:val="es-PE"/>
        </w:rPr>
        <w:t xml:space="preserve"> X, et al. </w:t>
      </w:r>
      <w:r w:rsidRPr="009367B6">
        <w:rPr>
          <w:rFonts w:ascii="Arial" w:eastAsia="Times New Roman" w:hAnsi="Arial" w:cs="Arial"/>
          <w:color w:val="000000"/>
          <w:sz w:val="20"/>
          <w:szCs w:val="20"/>
        </w:rPr>
        <w:t>COVID-19 Disease Severity Risk Factors for Pediatric Patients in Italy. Pediatrics. 2020;146(4).</w:t>
      </w:r>
    </w:p>
    <w:p w14:paraId="016C83ED"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proofErr w:type="spellStart"/>
      <w:r w:rsidRPr="009367B6">
        <w:rPr>
          <w:rFonts w:ascii="Arial" w:eastAsia="Times New Roman" w:hAnsi="Arial" w:cs="Arial"/>
          <w:color w:val="000000"/>
          <w:sz w:val="20"/>
          <w:szCs w:val="20"/>
          <w:lang w:val="es-PE"/>
        </w:rPr>
        <w:lastRenderedPageBreak/>
        <w:t>Garazzino</w:t>
      </w:r>
      <w:proofErr w:type="spellEnd"/>
      <w:r w:rsidRPr="009367B6">
        <w:rPr>
          <w:rFonts w:ascii="Arial" w:eastAsia="Times New Roman" w:hAnsi="Arial" w:cs="Arial"/>
          <w:color w:val="000000"/>
          <w:sz w:val="20"/>
          <w:szCs w:val="20"/>
          <w:lang w:val="es-PE"/>
        </w:rPr>
        <w:t xml:space="preserve"> S, Lo </w:t>
      </w:r>
      <w:proofErr w:type="spellStart"/>
      <w:r w:rsidRPr="009367B6">
        <w:rPr>
          <w:rFonts w:ascii="Arial" w:eastAsia="Times New Roman" w:hAnsi="Arial" w:cs="Arial"/>
          <w:color w:val="000000"/>
          <w:sz w:val="20"/>
          <w:szCs w:val="20"/>
          <w:lang w:val="es-PE"/>
        </w:rPr>
        <w:t>Vecchio</w:t>
      </w:r>
      <w:proofErr w:type="spellEnd"/>
      <w:r w:rsidRPr="009367B6">
        <w:rPr>
          <w:rFonts w:ascii="Arial" w:eastAsia="Times New Roman" w:hAnsi="Arial" w:cs="Arial"/>
          <w:color w:val="000000"/>
          <w:sz w:val="20"/>
          <w:szCs w:val="20"/>
          <w:lang w:val="es-PE"/>
        </w:rPr>
        <w:t xml:space="preserve"> A, </w:t>
      </w:r>
      <w:proofErr w:type="spellStart"/>
      <w:r w:rsidRPr="009367B6">
        <w:rPr>
          <w:rFonts w:ascii="Arial" w:eastAsia="Times New Roman" w:hAnsi="Arial" w:cs="Arial"/>
          <w:color w:val="000000"/>
          <w:sz w:val="20"/>
          <w:szCs w:val="20"/>
          <w:lang w:val="es-PE"/>
        </w:rPr>
        <w:t>Pierantoni</w:t>
      </w:r>
      <w:proofErr w:type="spellEnd"/>
      <w:r w:rsidRPr="009367B6">
        <w:rPr>
          <w:rFonts w:ascii="Arial" w:eastAsia="Times New Roman" w:hAnsi="Arial" w:cs="Arial"/>
          <w:color w:val="000000"/>
          <w:sz w:val="20"/>
          <w:szCs w:val="20"/>
          <w:lang w:val="es-PE"/>
        </w:rPr>
        <w:t xml:space="preserve"> L, </w:t>
      </w:r>
      <w:proofErr w:type="spellStart"/>
      <w:r w:rsidRPr="009367B6">
        <w:rPr>
          <w:rFonts w:ascii="Arial" w:eastAsia="Times New Roman" w:hAnsi="Arial" w:cs="Arial"/>
          <w:color w:val="000000"/>
          <w:sz w:val="20"/>
          <w:szCs w:val="20"/>
          <w:lang w:val="es-PE"/>
        </w:rPr>
        <w:t>Calò</w:t>
      </w:r>
      <w:proofErr w:type="spellEnd"/>
      <w:r w:rsidRPr="009367B6">
        <w:rPr>
          <w:rFonts w:ascii="Arial" w:eastAsia="Times New Roman" w:hAnsi="Arial" w:cs="Arial"/>
          <w:color w:val="000000"/>
          <w:sz w:val="20"/>
          <w:szCs w:val="20"/>
          <w:lang w:val="es-PE"/>
        </w:rPr>
        <w:t xml:space="preserve"> </w:t>
      </w:r>
      <w:proofErr w:type="spellStart"/>
      <w:r w:rsidRPr="009367B6">
        <w:rPr>
          <w:rFonts w:ascii="Arial" w:eastAsia="Times New Roman" w:hAnsi="Arial" w:cs="Arial"/>
          <w:color w:val="000000"/>
          <w:sz w:val="20"/>
          <w:szCs w:val="20"/>
          <w:lang w:val="es-PE"/>
        </w:rPr>
        <w:t>Carducci</w:t>
      </w:r>
      <w:proofErr w:type="spellEnd"/>
      <w:r w:rsidRPr="009367B6">
        <w:rPr>
          <w:rFonts w:ascii="Arial" w:eastAsia="Times New Roman" w:hAnsi="Arial" w:cs="Arial"/>
          <w:color w:val="000000"/>
          <w:sz w:val="20"/>
          <w:szCs w:val="20"/>
          <w:lang w:val="es-PE"/>
        </w:rPr>
        <w:t xml:space="preserve"> FI, </w:t>
      </w:r>
      <w:proofErr w:type="spellStart"/>
      <w:r w:rsidRPr="009367B6">
        <w:rPr>
          <w:rFonts w:ascii="Arial" w:eastAsia="Times New Roman" w:hAnsi="Arial" w:cs="Arial"/>
          <w:color w:val="000000"/>
          <w:sz w:val="20"/>
          <w:szCs w:val="20"/>
          <w:lang w:val="es-PE"/>
        </w:rPr>
        <w:t>Marchetti</w:t>
      </w:r>
      <w:proofErr w:type="spellEnd"/>
      <w:r w:rsidRPr="009367B6">
        <w:rPr>
          <w:rFonts w:ascii="Arial" w:eastAsia="Times New Roman" w:hAnsi="Arial" w:cs="Arial"/>
          <w:color w:val="000000"/>
          <w:sz w:val="20"/>
          <w:szCs w:val="20"/>
          <w:lang w:val="es-PE"/>
        </w:rPr>
        <w:t xml:space="preserve"> F, </w:t>
      </w:r>
      <w:proofErr w:type="spellStart"/>
      <w:r w:rsidRPr="009367B6">
        <w:rPr>
          <w:rFonts w:ascii="Arial" w:eastAsia="Times New Roman" w:hAnsi="Arial" w:cs="Arial"/>
          <w:color w:val="000000"/>
          <w:sz w:val="20"/>
          <w:szCs w:val="20"/>
          <w:lang w:val="es-PE"/>
        </w:rPr>
        <w:t>Meini</w:t>
      </w:r>
      <w:proofErr w:type="spellEnd"/>
      <w:r w:rsidRPr="009367B6">
        <w:rPr>
          <w:rFonts w:ascii="Arial" w:eastAsia="Times New Roman" w:hAnsi="Arial" w:cs="Arial"/>
          <w:color w:val="000000"/>
          <w:sz w:val="20"/>
          <w:szCs w:val="20"/>
          <w:lang w:val="es-PE"/>
        </w:rPr>
        <w:t xml:space="preserve"> A, et al. </w:t>
      </w:r>
      <w:r w:rsidRPr="009367B6">
        <w:rPr>
          <w:rFonts w:ascii="Arial" w:eastAsia="Times New Roman" w:hAnsi="Arial" w:cs="Arial"/>
          <w:color w:val="000000"/>
          <w:sz w:val="20"/>
          <w:szCs w:val="20"/>
        </w:rPr>
        <w:t>Epidemiology, Clinical Features and Prognostic Factors of Pediatric SARS-CoV-2 Infection: Results From an Italian Multicenter Study. Front Pediatr. 2021;9(March):1–10.</w:t>
      </w:r>
    </w:p>
    <w:p w14:paraId="3B0DC3C9"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Oualha M, Bendavid M, Berteloot L, Corsia A, Lesage F, Vedrenne M. Severe and fatal forms of COVID-19 in children. Archives de Pe´ diatrie 27 (2020) 235–238 </w:t>
      </w:r>
    </w:p>
    <w:p w14:paraId="1A1CC1B3"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Chao JY, Derespina KR, Herold BC, Goldman DL, Aldrich M, Weingarten J, et al. Clinical Characteristics and Outcomes of Hospitalized and Critically Ill Children and Adolescents with Coronavirus Disease 2019 at a Tertiary Care Medical Center in New York City. J Pediatr. 2020;223(January):14-19.e2.</w:t>
      </w:r>
    </w:p>
    <w:p w14:paraId="5C3FC080"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lang w:val="es-PE"/>
        </w:rPr>
        <w:t xml:space="preserve">García-Salido A, de Carlos Vicente JC, </w:t>
      </w:r>
      <w:proofErr w:type="spellStart"/>
      <w:r w:rsidRPr="009367B6">
        <w:rPr>
          <w:rFonts w:ascii="Arial" w:eastAsia="Times New Roman" w:hAnsi="Arial" w:cs="Arial"/>
          <w:color w:val="000000"/>
          <w:sz w:val="20"/>
          <w:szCs w:val="20"/>
          <w:lang w:val="es-PE"/>
        </w:rPr>
        <w:t>Belda</w:t>
      </w:r>
      <w:proofErr w:type="spellEnd"/>
      <w:r w:rsidRPr="009367B6">
        <w:rPr>
          <w:rFonts w:ascii="Arial" w:eastAsia="Times New Roman" w:hAnsi="Arial" w:cs="Arial"/>
          <w:color w:val="000000"/>
          <w:sz w:val="20"/>
          <w:szCs w:val="20"/>
          <w:lang w:val="es-PE"/>
        </w:rPr>
        <w:t xml:space="preserve"> </w:t>
      </w:r>
      <w:proofErr w:type="spellStart"/>
      <w:r w:rsidRPr="009367B6">
        <w:rPr>
          <w:rFonts w:ascii="Arial" w:eastAsia="Times New Roman" w:hAnsi="Arial" w:cs="Arial"/>
          <w:color w:val="000000"/>
          <w:sz w:val="20"/>
          <w:szCs w:val="20"/>
          <w:lang w:val="es-PE"/>
        </w:rPr>
        <w:t>Hofheinz</w:t>
      </w:r>
      <w:proofErr w:type="spellEnd"/>
      <w:r w:rsidRPr="009367B6">
        <w:rPr>
          <w:rFonts w:ascii="Arial" w:eastAsia="Times New Roman" w:hAnsi="Arial" w:cs="Arial"/>
          <w:color w:val="000000"/>
          <w:sz w:val="20"/>
          <w:szCs w:val="20"/>
          <w:lang w:val="es-PE"/>
        </w:rPr>
        <w:t xml:space="preserve"> S, </w:t>
      </w:r>
      <w:proofErr w:type="spellStart"/>
      <w:r w:rsidRPr="009367B6">
        <w:rPr>
          <w:rFonts w:ascii="Arial" w:eastAsia="Times New Roman" w:hAnsi="Arial" w:cs="Arial"/>
          <w:color w:val="000000"/>
          <w:sz w:val="20"/>
          <w:szCs w:val="20"/>
          <w:lang w:val="es-PE"/>
        </w:rPr>
        <w:t>Balcells</w:t>
      </w:r>
      <w:proofErr w:type="spellEnd"/>
      <w:r w:rsidRPr="009367B6">
        <w:rPr>
          <w:rFonts w:ascii="Arial" w:eastAsia="Times New Roman" w:hAnsi="Arial" w:cs="Arial"/>
          <w:color w:val="000000"/>
          <w:sz w:val="20"/>
          <w:szCs w:val="20"/>
          <w:lang w:val="es-PE"/>
        </w:rPr>
        <w:t xml:space="preserve"> Ramírez J, </w:t>
      </w:r>
      <w:proofErr w:type="spellStart"/>
      <w:r w:rsidRPr="009367B6">
        <w:rPr>
          <w:rFonts w:ascii="Arial" w:eastAsia="Times New Roman" w:hAnsi="Arial" w:cs="Arial"/>
          <w:color w:val="000000"/>
          <w:sz w:val="20"/>
          <w:szCs w:val="20"/>
          <w:lang w:val="es-PE"/>
        </w:rPr>
        <w:t>Slöcker</w:t>
      </w:r>
      <w:proofErr w:type="spellEnd"/>
      <w:r w:rsidRPr="009367B6">
        <w:rPr>
          <w:rFonts w:ascii="Arial" w:eastAsia="Times New Roman" w:hAnsi="Arial" w:cs="Arial"/>
          <w:color w:val="000000"/>
          <w:sz w:val="20"/>
          <w:szCs w:val="20"/>
          <w:lang w:val="es-PE"/>
        </w:rPr>
        <w:t xml:space="preserve"> Barrio M, </w:t>
      </w:r>
      <w:proofErr w:type="spellStart"/>
      <w:r w:rsidRPr="009367B6">
        <w:rPr>
          <w:rFonts w:ascii="Arial" w:eastAsia="Times New Roman" w:hAnsi="Arial" w:cs="Arial"/>
          <w:color w:val="000000"/>
          <w:sz w:val="20"/>
          <w:szCs w:val="20"/>
          <w:lang w:val="es-PE"/>
        </w:rPr>
        <w:t>Leóz</w:t>
      </w:r>
      <w:proofErr w:type="spellEnd"/>
      <w:r w:rsidRPr="009367B6">
        <w:rPr>
          <w:rFonts w:ascii="Arial" w:eastAsia="Times New Roman" w:hAnsi="Arial" w:cs="Arial"/>
          <w:color w:val="000000"/>
          <w:sz w:val="20"/>
          <w:szCs w:val="20"/>
          <w:lang w:val="es-PE"/>
        </w:rPr>
        <w:t xml:space="preserve"> Gordillo I, et al. </w:t>
      </w:r>
      <w:r w:rsidRPr="009367B6">
        <w:rPr>
          <w:rFonts w:ascii="Arial" w:eastAsia="Times New Roman" w:hAnsi="Arial" w:cs="Arial"/>
          <w:color w:val="000000"/>
          <w:sz w:val="20"/>
          <w:szCs w:val="20"/>
        </w:rPr>
        <w:t>Severe manifestations of SARS-CoV-2 in children and adolescents: from COVID-19 pneumonia to multisystem inflammatory syndrome: a multicentre study in pediatric intensive care units in Spain. Crit Care. 2020;24(1):666.</w:t>
      </w:r>
    </w:p>
    <w:p w14:paraId="14C8CB7D"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Ramanathan K, Antognini D, Combes A, Paden M, Zakhary B, Ogino M, et al. COVID-19 in children and adolescents in Europe: a multinational, multicentre cohort study. Lancet Child Adolesc Health 2020; 4: 653–61</w:t>
      </w:r>
    </w:p>
    <w:p w14:paraId="76333DD8"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proofErr w:type="spellStart"/>
      <w:r w:rsidRPr="009367B6">
        <w:rPr>
          <w:rFonts w:ascii="Arial" w:eastAsia="Times New Roman" w:hAnsi="Arial" w:cs="Arial"/>
          <w:color w:val="000000"/>
          <w:sz w:val="20"/>
          <w:szCs w:val="20"/>
          <w:lang w:val="es-PE"/>
        </w:rPr>
        <w:t>Milani</w:t>
      </w:r>
      <w:proofErr w:type="spellEnd"/>
      <w:r w:rsidRPr="009367B6">
        <w:rPr>
          <w:rFonts w:ascii="Arial" w:eastAsia="Times New Roman" w:hAnsi="Arial" w:cs="Arial"/>
          <w:color w:val="000000"/>
          <w:sz w:val="20"/>
          <w:szCs w:val="20"/>
          <w:lang w:val="es-PE"/>
        </w:rPr>
        <w:t xml:space="preserve"> GP, </w:t>
      </w:r>
      <w:proofErr w:type="spellStart"/>
      <w:r w:rsidRPr="009367B6">
        <w:rPr>
          <w:rFonts w:ascii="Arial" w:eastAsia="Times New Roman" w:hAnsi="Arial" w:cs="Arial"/>
          <w:color w:val="000000"/>
          <w:sz w:val="20"/>
          <w:szCs w:val="20"/>
          <w:lang w:val="es-PE"/>
        </w:rPr>
        <w:t>Marchisio</w:t>
      </w:r>
      <w:proofErr w:type="spellEnd"/>
      <w:r w:rsidRPr="009367B6">
        <w:rPr>
          <w:rFonts w:ascii="Arial" w:eastAsia="Times New Roman" w:hAnsi="Arial" w:cs="Arial"/>
          <w:color w:val="000000"/>
          <w:sz w:val="20"/>
          <w:szCs w:val="20"/>
          <w:lang w:val="es-PE"/>
        </w:rPr>
        <w:t xml:space="preserve"> P, </w:t>
      </w:r>
      <w:proofErr w:type="spellStart"/>
      <w:r w:rsidRPr="009367B6">
        <w:rPr>
          <w:rFonts w:ascii="Arial" w:eastAsia="Times New Roman" w:hAnsi="Arial" w:cs="Arial"/>
          <w:color w:val="000000"/>
          <w:sz w:val="20"/>
          <w:szCs w:val="20"/>
          <w:lang w:val="es-PE"/>
        </w:rPr>
        <w:t>Rocchi</w:t>
      </w:r>
      <w:proofErr w:type="spellEnd"/>
      <w:r w:rsidRPr="009367B6">
        <w:rPr>
          <w:rFonts w:ascii="Arial" w:eastAsia="Times New Roman" w:hAnsi="Arial" w:cs="Arial"/>
          <w:color w:val="000000"/>
          <w:sz w:val="20"/>
          <w:szCs w:val="20"/>
          <w:lang w:val="es-PE"/>
        </w:rPr>
        <w:t xml:space="preserve"> A, </w:t>
      </w:r>
      <w:proofErr w:type="spellStart"/>
      <w:r w:rsidRPr="009367B6">
        <w:rPr>
          <w:rFonts w:ascii="Arial" w:eastAsia="Times New Roman" w:hAnsi="Arial" w:cs="Arial"/>
          <w:color w:val="000000"/>
          <w:sz w:val="20"/>
          <w:szCs w:val="20"/>
          <w:lang w:val="es-PE"/>
        </w:rPr>
        <w:t>Bertolozzi</w:t>
      </w:r>
      <w:proofErr w:type="spellEnd"/>
      <w:r w:rsidRPr="009367B6">
        <w:rPr>
          <w:rFonts w:ascii="Arial" w:eastAsia="Times New Roman" w:hAnsi="Arial" w:cs="Arial"/>
          <w:color w:val="000000"/>
          <w:sz w:val="20"/>
          <w:szCs w:val="20"/>
          <w:lang w:val="es-PE"/>
        </w:rPr>
        <w:t xml:space="preserve"> G, </w:t>
      </w:r>
      <w:proofErr w:type="spellStart"/>
      <w:r w:rsidRPr="009367B6">
        <w:rPr>
          <w:rFonts w:ascii="Arial" w:eastAsia="Times New Roman" w:hAnsi="Arial" w:cs="Arial"/>
          <w:color w:val="000000"/>
          <w:sz w:val="20"/>
          <w:szCs w:val="20"/>
          <w:lang w:val="es-PE"/>
        </w:rPr>
        <w:t>Furlan</w:t>
      </w:r>
      <w:proofErr w:type="spellEnd"/>
      <w:r w:rsidRPr="009367B6">
        <w:rPr>
          <w:rFonts w:ascii="Arial" w:eastAsia="Times New Roman" w:hAnsi="Arial" w:cs="Arial"/>
          <w:color w:val="000000"/>
          <w:sz w:val="20"/>
          <w:szCs w:val="20"/>
          <w:lang w:val="es-PE"/>
        </w:rPr>
        <w:t xml:space="preserve"> L, La </w:t>
      </w:r>
      <w:proofErr w:type="spellStart"/>
      <w:r w:rsidRPr="009367B6">
        <w:rPr>
          <w:rFonts w:ascii="Arial" w:eastAsia="Times New Roman" w:hAnsi="Arial" w:cs="Arial"/>
          <w:color w:val="000000"/>
          <w:sz w:val="20"/>
          <w:szCs w:val="20"/>
          <w:lang w:val="es-PE"/>
        </w:rPr>
        <w:t>Vecchia</w:t>
      </w:r>
      <w:proofErr w:type="spellEnd"/>
      <w:r w:rsidRPr="009367B6">
        <w:rPr>
          <w:rFonts w:ascii="Arial" w:eastAsia="Times New Roman" w:hAnsi="Arial" w:cs="Arial"/>
          <w:color w:val="000000"/>
          <w:sz w:val="20"/>
          <w:szCs w:val="20"/>
          <w:lang w:val="es-PE"/>
        </w:rPr>
        <w:t xml:space="preserve"> A, et al. </w:t>
      </w:r>
      <w:r w:rsidRPr="009367B6">
        <w:rPr>
          <w:rFonts w:ascii="Arial" w:eastAsia="Times New Roman" w:hAnsi="Arial" w:cs="Arial"/>
          <w:color w:val="000000"/>
          <w:sz w:val="20"/>
          <w:szCs w:val="20"/>
        </w:rPr>
        <w:t>Frequency of asymptomatic carriers of SARS-CoV-2 among children and adults after school reopening. Ital J Pediatr. 2021;47(1):10–3.</w:t>
      </w:r>
    </w:p>
    <w:p w14:paraId="26D87398" w14:textId="77777777" w:rsidR="009367B6" w:rsidRPr="009367B6" w:rsidRDefault="009367B6" w:rsidP="009367B6">
      <w:pPr>
        <w:numPr>
          <w:ilvl w:val="0"/>
          <w:numId w:val="20"/>
        </w:numPr>
        <w:spacing w:after="0" w:line="240" w:lineRule="auto"/>
        <w:jc w:val="both"/>
        <w:textAlignment w:val="baseline"/>
        <w:rPr>
          <w:rFonts w:ascii="Arial" w:eastAsia="Times New Roman" w:hAnsi="Arial" w:cs="Arial"/>
          <w:color w:val="000000"/>
          <w:sz w:val="20"/>
          <w:szCs w:val="20"/>
        </w:rPr>
      </w:pPr>
      <w:r w:rsidRPr="009367B6">
        <w:rPr>
          <w:rFonts w:ascii="Arial" w:eastAsia="Times New Roman" w:hAnsi="Arial" w:cs="Arial"/>
          <w:color w:val="000000"/>
          <w:sz w:val="20"/>
          <w:szCs w:val="20"/>
        </w:rPr>
        <w:t>Ramanathan K, Antognini D, Combes A, Paden M, Zakhary B, Ogino M, et al. Effect of the new SARS-CoV-2 variant B.1.1.7 on children and young people www.thelancet.com/child-adolescent Vol 5 April 2021. </w:t>
      </w:r>
    </w:p>
    <w:p w14:paraId="632555B2" w14:textId="77777777" w:rsidR="001F1450" w:rsidRPr="009367B6" w:rsidRDefault="001F1450" w:rsidP="009367B6"/>
    <w:sectPr w:rsidR="001F1450" w:rsidRPr="009367B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altName w:val="Arial"/>
    <w:panose1 w:val="02020603050405020304"/>
    <w:charset w:val="00"/>
    <w:family w:val="roman"/>
    <w:pitch w:val="variable"/>
    <w:sig w:usb0="00000000"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Roboto">
    <w:panose1 w:val="02000000000000000000"/>
    <w:charset w:val="00"/>
    <w:family w:val="auto"/>
    <w:pitch w:val="variable"/>
    <w:sig w:usb0="E00002FF" w:usb1="5000217F" w:usb2="0000002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82B78"/>
    <w:multiLevelType w:val="multilevel"/>
    <w:tmpl w:val="C8CCF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EE6928"/>
    <w:multiLevelType w:val="multilevel"/>
    <w:tmpl w:val="F4D40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2D5DBF"/>
    <w:multiLevelType w:val="multilevel"/>
    <w:tmpl w:val="68203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C36AB8"/>
    <w:multiLevelType w:val="multilevel"/>
    <w:tmpl w:val="D2CC5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65054D"/>
    <w:multiLevelType w:val="multilevel"/>
    <w:tmpl w:val="27788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9C4ECF"/>
    <w:multiLevelType w:val="multilevel"/>
    <w:tmpl w:val="434E6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5053C1E"/>
    <w:multiLevelType w:val="multilevel"/>
    <w:tmpl w:val="26EA5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682070"/>
    <w:multiLevelType w:val="multilevel"/>
    <w:tmpl w:val="2AF42C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5F12FE2"/>
    <w:multiLevelType w:val="multilevel"/>
    <w:tmpl w:val="5F94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B60475"/>
    <w:multiLevelType w:val="multilevel"/>
    <w:tmpl w:val="456C8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31B35E9"/>
    <w:multiLevelType w:val="multilevel"/>
    <w:tmpl w:val="F3F23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99F131F"/>
    <w:multiLevelType w:val="multilevel"/>
    <w:tmpl w:val="91F04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E05B1F"/>
    <w:multiLevelType w:val="multilevel"/>
    <w:tmpl w:val="F1BC55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F4C5CC5"/>
    <w:multiLevelType w:val="multilevel"/>
    <w:tmpl w:val="7DFA46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0A33125"/>
    <w:multiLevelType w:val="multilevel"/>
    <w:tmpl w:val="1716F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CCF2AB1"/>
    <w:multiLevelType w:val="multilevel"/>
    <w:tmpl w:val="E10AC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F8838C5"/>
    <w:multiLevelType w:val="multilevel"/>
    <w:tmpl w:val="18168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EC71BAE"/>
    <w:multiLevelType w:val="multilevel"/>
    <w:tmpl w:val="352AF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3780188"/>
    <w:multiLevelType w:val="multilevel"/>
    <w:tmpl w:val="D9E6C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7054154"/>
    <w:multiLevelType w:val="multilevel"/>
    <w:tmpl w:val="ED649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8"/>
  </w:num>
  <w:num w:numId="3">
    <w:abstractNumId w:val="12"/>
    <w:lvlOverride w:ilvl="0">
      <w:lvl w:ilvl="0">
        <w:numFmt w:val="decimal"/>
        <w:lvlText w:val="%1."/>
        <w:lvlJc w:val="left"/>
      </w:lvl>
    </w:lvlOverride>
  </w:num>
  <w:num w:numId="4">
    <w:abstractNumId w:val="2"/>
  </w:num>
  <w:num w:numId="5">
    <w:abstractNumId w:val="4"/>
  </w:num>
  <w:num w:numId="6">
    <w:abstractNumId w:val="3"/>
  </w:num>
  <w:num w:numId="7">
    <w:abstractNumId w:val="6"/>
  </w:num>
  <w:num w:numId="8">
    <w:abstractNumId w:val="14"/>
  </w:num>
  <w:num w:numId="9">
    <w:abstractNumId w:val="15"/>
  </w:num>
  <w:num w:numId="10">
    <w:abstractNumId w:val="9"/>
  </w:num>
  <w:num w:numId="11">
    <w:abstractNumId w:val="10"/>
  </w:num>
  <w:num w:numId="12">
    <w:abstractNumId w:val="11"/>
  </w:num>
  <w:num w:numId="13">
    <w:abstractNumId w:val="19"/>
  </w:num>
  <w:num w:numId="14">
    <w:abstractNumId w:val="17"/>
  </w:num>
  <w:num w:numId="15">
    <w:abstractNumId w:val="1"/>
  </w:num>
  <w:num w:numId="16">
    <w:abstractNumId w:val="8"/>
  </w:num>
  <w:num w:numId="17">
    <w:abstractNumId w:val="5"/>
  </w:num>
  <w:num w:numId="18">
    <w:abstractNumId w:val="0"/>
  </w:num>
  <w:num w:numId="19">
    <w:abstractNumId w:val="16"/>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6"/>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7B6"/>
    <w:rsid w:val="001F1450"/>
    <w:rsid w:val="006E1F7C"/>
    <w:rsid w:val="008D751D"/>
    <w:rsid w:val="009367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A0ECCF"/>
  <w15:chartTrackingRefBased/>
  <w15:docId w15:val="{43684D91-9DC3-4DC8-9FA3-DDC151869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link w:val="Ttulo2Car"/>
    <w:uiPriority w:val="9"/>
    <w:qFormat/>
    <w:rsid w:val="009367B6"/>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9367B6"/>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9367B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Fuentedeprrafopredeter"/>
    <w:rsid w:val="009367B6"/>
  </w:style>
  <w:style w:type="character" w:styleId="Hipervnculo">
    <w:name w:val="Hyperlink"/>
    <w:basedOn w:val="Fuentedeprrafopredeter"/>
    <w:uiPriority w:val="99"/>
    <w:semiHidden/>
    <w:unhideWhenUsed/>
    <w:rsid w:val="009367B6"/>
    <w:rPr>
      <w:color w:val="0000FF"/>
      <w:u w:val="single"/>
    </w:rPr>
  </w:style>
  <w:style w:type="paragraph" w:styleId="Prrafodelista">
    <w:name w:val="List Paragraph"/>
    <w:basedOn w:val="Normal"/>
    <w:uiPriority w:val="34"/>
    <w:qFormat/>
    <w:rsid w:val="009367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2498490">
      <w:bodyDiv w:val="1"/>
      <w:marLeft w:val="0"/>
      <w:marRight w:val="0"/>
      <w:marTop w:val="0"/>
      <w:marBottom w:val="0"/>
      <w:divBdr>
        <w:top w:val="none" w:sz="0" w:space="0" w:color="auto"/>
        <w:left w:val="none" w:sz="0" w:space="0" w:color="auto"/>
        <w:bottom w:val="none" w:sz="0" w:space="0" w:color="auto"/>
        <w:right w:val="none" w:sz="0" w:space="0" w:color="auto"/>
      </w:divBdr>
      <w:divsChild>
        <w:div w:id="1145976364">
          <w:marLeft w:val="-108"/>
          <w:marRight w:val="0"/>
          <w:marTop w:val="0"/>
          <w:marBottom w:val="0"/>
          <w:divBdr>
            <w:top w:val="none" w:sz="0" w:space="0" w:color="auto"/>
            <w:left w:val="none" w:sz="0" w:space="0" w:color="auto"/>
            <w:bottom w:val="none" w:sz="0" w:space="0" w:color="auto"/>
            <w:right w:val="none" w:sz="0" w:space="0" w:color="auto"/>
          </w:divBdr>
        </w:div>
        <w:div w:id="721370635">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hyperlink" Target="http://www.covid19treatmentguidelines.nih.gov/" TargetMode="Externa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hyperlink" Target="https://www.dge.gob.pe/portal/docs/tools/coronavirus/coronavirus230421.pdf" TargetMode="External" /><Relationship Id="rId5" Type="http://schemas.openxmlformats.org/officeDocument/2006/relationships/image" Target="media/image1.png" /><Relationship Id="rId4" Type="http://schemas.openxmlformats.org/officeDocument/2006/relationships/webSettings" Target="webSetting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3097</Words>
  <Characters>17036</Characters>
  <Application>Microsoft Office Word</Application>
  <DocSecurity>0</DocSecurity>
  <Lines>141</Lines>
  <Paragraphs>40</Paragraphs>
  <ScaleCrop>false</ScaleCrop>
  <Company/>
  <LinksUpToDate>false</LinksUpToDate>
  <CharactersWithSpaces>20093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Anchante</dc:creator>
  <cp:keywords/>
  <dc:description/>
  <cp:lastModifiedBy>Usuario invitado</cp:lastModifiedBy>
  <cp:revision>2</cp:revision>
  <dcterms:created xsi:type="dcterms:W3CDTF">2021-11-22T22:09:00Z</dcterms:created>
  <dcterms:modified xsi:type="dcterms:W3CDTF">2021-11-22T22:09:00Z</dcterms:modified>
</cp:coreProperties>
</file>